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AB92" w14:textId="41BA324B" w:rsidR="00147990" w:rsidRPr="00CC20AE" w:rsidRDefault="00147990" w:rsidP="00147990">
      <w:pPr>
        <w:pStyle w:val="3GPPHeader"/>
        <w:spacing w:after="60"/>
        <w:rPr>
          <w:sz w:val="32"/>
          <w:szCs w:val="32"/>
          <w:lang w:val="sv-SE"/>
        </w:rPr>
      </w:pPr>
      <w:r w:rsidRPr="00CC20AE">
        <w:rPr>
          <w:lang w:val="sv-SE"/>
        </w:rPr>
        <w:t>3GPP TSG-RAN2#131bis</w:t>
      </w:r>
      <w:r w:rsidRPr="00CC20AE">
        <w:rPr>
          <w:lang w:val="sv-SE"/>
        </w:rPr>
        <w:tab/>
      </w:r>
      <w:r w:rsidRPr="00CC20AE">
        <w:rPr>
          <w:sz w:val="32"/>
          <w:szCs w:val="32"/>
          <w:lang w:val="sv-SE"/>
        </w:rPr>
        <w:t>Tdoc R2-25</w:t>
      </w:r>
      <w:r w:rsidR="002460E0">
        <w:rPr>
          <w:sz w:val="32"/>
          <w:szCs w:val="32"/>
          <w:lang w:val="sv-SE"/>
        </w:rPr>
        <w:t>07073</w:t>
      </w:r>
    </w:p>
    <w:p w14:paraId="61A6D2D5" w14:textId="3805C5F3" w:rsidR="00147990" w:rsidRPr="00FC74C8" w:rsidRDefault="00147990" w:rsidP="00147990">
      <w:pPr>
        <w:pStyle w:val="3GPPHeader"/>
      </w:pPr>
      <w:r>
        <w:t xml:space="preserve">Prague, </w:t>
      </w:r>
      <w:r w:rsidR="00220CCC">
        <w:t>Czech Republic</w:t>
      </w:r>
      <w:r w:rsidRPr="00FC74C8">
        <w:t>, 202</w:t>
      </w:r>
      <w:r>
        <w:t>5</w:t>
      </w:r>
      <w:r w:rsidRPr="00FC74C8">
        <w:t>-</w:t>
      </w:r>
      <w:r>
        <w:t>10</w:t>
      </w:r>
      <w:r w:rsidRPr="00FC74C8">
        <w:t>-</w:t>
      </w:r>
      <w:r>
        <w:t>13</w:t>
      </w:r>
      <w:r w:rsidRPr="00FC74C8">
        <w:t xml:space="preserve"> - 202</w:t>
      </w:r>
      <w:r>
        <w:t>5</w:t>
      </w:r>
      <w:r w:rsidRPr="00FC74C8">
        <w:t>-</w:t>
      </w:r>
      <w:r>
        <w:t>10</w:t>
      </w:r>
      <w:r w:rsidRPr="00FC74C8">
        <w:t>-</w:t>
      </w:r>
      <w:r>
        <w:t>17</w:t>
      </w:r>
    </w:p>
    <w:p w14:paraId="057466D6" w14:textId="77777777" w:rsidR="001948B1" w:rsidRDefault="001948B1" w:rsidP="00C811CE">
      <w:pPr>
        <w:pStyle w:val="3GPPHeader"/>
        <w:rPr>
          <w:sz w:val="22"/>
          <w:szCs w:val="22"/>
        </w:rPr>
      </w:pPr>
    </w:p>
    <w:p w14:paraId="2B1BFB67" w14:textId="1EFE7E30"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220CCC">
        <w:rPr>
          <w:sz w:val="22"/>
          <w:szCs w:val="22"/>
        </w:rPr>
        <w:t>10.3.2</w:t>
      </w:r>
      <w:r w:rsidR="00723EDC">
        <w:rPr>
          <w:sz w:val="22"/>
          <w:szCs w:val="22"/>
        </w:rPr>
        <w:t xml:space="preserve"> – Control plane</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0009243F" w:rsidR="00C811CE" w:rsidRPr="00FC74C8" w:rsidRDefault="00C811CE" w:rsidP="00C811CE">
      <w:pPr>
        <w:pStyle w:val="3GPPHeader"/>
        <w:rPr>
          <w:sz w:val="22"/>
          <w:szCs w:val="22"/>
        </w:rPr>
      </w:pPr>
      <w:r w:rsidRPr="00FC74C8">
        <w:rPr>
          <w:sz w:val="22"/>
          <w:szCs w:val="22"/>
        </w:rPr>
        <w:t>Title:</w:t>
      </w:r>
      <w:r w:rsidRPr="00FC74C8">
        <w:rPr>
          <w:sz w:val="22"/>
          <w:szCs w:val="22"/>
        </w:rPr>
        <w:tab/>
      </w:r>
      <w:r w:rsidR="00FA36C9">
        <w:rPr>
          <w:sz w:val="22"/>
          <w:szCs w:val="22"/>
        </w:rPr>
        <w:t>RRC</w:t>
      </w:r>
      <w:r w:rsidR="002460E0" w:rsidRPr="002460E0">
        <w:rPr>
          <w:sz w:val="22"/>
          <w:szCs w:val="22"/>
        </w:rPr>
        <w:t>, ASN.1 and other</w:t>
      </w:r>
      <w:r w:rsidR="00FA36C9">
        <w:rPr>
          <w:sz w:val="22"/>
          <w:szCs w:val="22"/>
        </w:rPr>
        <w:t xml:space="preserve"> signalling</w:t>
      </w:r>
      <w:r w:rsidR="00B06366">
        <w:rPr>
          <w:sz w:val="22"/>
          <w:szCs w:val="22"/>
        </w:rPr>
        <w:t xml:space="preserve"> </w:t>
      </w:r>
      <w:r w:rsidR="002460E0" w:rsidRPr="002460E0">
        <w:rPr>
          <w:sz w:val="22"/>
          <w:szCs w:val="22"/>
        </w:rPr>
        <w:t>for 6G aspects</w:t>
      </w:r>
      <w:r w:rsidR="00B06366">
        <w:rPr>
          <w:sz w:val="22"/>
          <w:szCs w:val="22"/>
        </w:rPr>
        <w:t xml:space="preserve"> </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44C95245" w14:textId="1AC37015" w:rsidR="00A85C6F" w:rsidRDefault="00425486" w:rsidP="009B41FD">
      <w:pPr>
        <w:pStyle w:val="BodyText"/>
        <w:rPr>
          <w:rFonts w:cs="Arial"/>
        </w:rPr>
      </w:pPr>
      <w:r>
        <w:t xml:space="preserve">In this document we present our view on the </w:t>
      </w:r>
      <w:r w:rsidR="00511230">
        <w:t>RRC signalling</w:t>
      </w:r>
      <w:r>
        <w:t xml:space="preserve"> of the 6G radio interface. We analyse problems observed in previous generations and suggest high level principles to avoid those in 6G</w:t>
      </w:r>
      <w:r w:rsidR="00447CB6">
        <w:t>R</w:t>
      </w:r>
      <w:r>
        <w:t xml:space="preserve">. </w:t>
      </w:r>
    </w:p>
    <w:p w14:paraId="077E1C17" w14:textId="4E7EFCF6" w:rsidR="00425486" w:rsidRPr="00E57453" w:rsidRDefault="00230D18" w:rsidP="00E57453">
      <w:pPr>
        <w:pStyle w:val="Heading1"/>
      </w:pPr>
      <w:bookmarkStart w:id="0" w:name="_Ref178064866"/>
      <w:r w:rsidRPr="00861423">
        <w:t>2</w:t>
      </w:r>
      <w:r w:rsidRPr="00861423">
        <w:tab/>
      </w:r>
      <w:r w:rsidR="004000E8" w:rsidRPr="00861423">
        <w:t>Discussion</w:t>
      </w:r>
      <w:bookmarkEnd w:id="0"/>
    </w:p>
    <w:p w14:paraId="67AC56B4" w14:textId="77777777" w:rsidR="0089629C" w:rsidRDefault="0089629C" w:rsidP="0089629C">
      <w:pPr>
        <w:pStyle w:val="Heading2"/>
      </w:pPr>
      <w:r>
        <w:t>2.1</w:t>
      </w:r>
      <w:r>
        <w:tab/>
        <w:t>Simpler, leaner, unambiguous and extensible</w:t>
      </w:r>
    </w:p>
    <w:p w14:paraId="598716D9" w14:textId="5BB93B76" w:rsidR="0089629C" w:rsidRDefault="0089629C" w:rsidP="0089629C">
      <w:pPr>
        <w:pStyle w:val="BodyText"/>
      </w:pPr>
      <w:r>
        <w:t>LTE’s and NR’s RRC ASN.1 messages use a tree</w:t>
      </w:r>
      <w:r w:rsidR="00C768D4">
        <w:t>-like</w:t>
      </w:r>
      <w:r>
        <w:t xml:space="preserve"> data structure</w:t>
      </w:r>
      <w:r w:rsidR="00134F73">
        <w:t xml:space="preserve"> </w:t>
      </w:r>
      <w:r>
        <w:t>for configuring protocols, channels, and signals. Due to the different architecture options (EN-DC, NR-SA, NR-DC, etc.), the support for dual connectivity, carrier aggregation and bandwidth parts (BWP) as well as due to the large number of configuration parameters for the physical layer, NR’s RRC ASN.1 messages became large and deeply nested (many levels of hierarchy</w:t>
      </w:r>
      <w:r w:rsidR="00134F73">
        <w:t xml:space="preserve"> for </w:t>
      </w:r>
      <w:proofErr w:type="spellStart"/>
      <w:r w:rsidR="00134F73">
        <w:t>CellGroups</w:t>
      </w:r>
      <w:proofErr w:type="spellEnd"/>
      <w:r w:rsidR="00134F73">
        <w:t xml:space="preserve">, </w:t>
      </w:r>
      <w:proofErr w:type="spellStart"/>
      <w:r w:rsidR="00134F73">
        <w:t>ServingCells</w:t>
      </w:r>
      <w:proofErr w:type="spellEnd"/>
      <w:r w:rsidR="00134F73">
        <w:t xml:space="preserve"> and BWPs</w:t>
      </w:r>
      <w:r>
        <w:t xml:space="preserve">). The division into common and dedicated parameters as well as the separation of uplink and downlink fields created additional hierarchy levels. While this seemed convenient at a first glance, it makes the signalling unnecessary difficult to extend, i.e., to introduce new functionality which does not fit into the previously established structure. This happened already in the later phase of Rel-15 when the introduction of BWPs did not fit well with the original separation into common and dedicated parameters nor to the structure of the Serving Cells. Ultimately, this led e.g. to the problem that BWPs could not be used to switch a RedCap </w:t>
      </w:r>
      <w:r w:rsidR="0049385E">
        <w:t xml:space="preserve">UE </w:t>
      </w:r>
      <w:r>
        <w:t>between several narrow channels within a wider carrier. The reason was that the “channel BW” configuration landed outside the BWP configuration and inside the ServingCellConfigCommon branch that could not be modified by dedicated signalling. Similarly, the introduction of various multi-TRP schemes required configuring additional PDCCHs and</w:t>
      </w:r>
      <w:r w:rsidR="0031794F">
        <w:t>/</w:t>
      </w:r>
      <w:r>
        <w:t xml:space="preserve">or PDSCHs which were in the same frequency band but (sometimes) associated with a different </w:t>
      </w:r>
      <w:r w:rsidR="0031794F">
        <w:t xml:space="preserve">cell (i.e., </w:t>
      </w:r>
      <w:r>
        <w:t>PCI</w:t>
      </w:r>
      <w:r w:rsidR="0031794F">
        <w:t>)</w:t>
      </w:r>
      <w:r>
        <w:t xml:space="preserve">. </w:t>
      </w:r>
    </w:p>
    <w:p w14:paraId="2E846C68" w14:textId="5DE1A239" w:rsidR="0089629C" w:rsidRDefault="0089629C" w:rsidP="0089629C">
      <w:pPr>
        <w:pStyle w:val="Observation"/>
      </w:pPr>
      <w:bookmarkStart w:id="1" w:name="_Toc208857412"/>
      <w:bookmarkStart w:id="2" w:name="_Toc209708215"/>
      <w:bookmarkStart w:id="3" w:name="_Toc210402860"/>
      <w:r>
        <w:t>Hierarchically structured configuration messages hinder the introduction of new functionality and thereby drive complexity and development costs.</w:t>
      </w:r>
      <w:bookmarkEnd w:id="1"/>
      <w:bookmarkEnd w:id="2"/>
      <w:bookmarkEnd w:id="3"/>
      <w:r>
        <w:t xml:space="preserve"> </w:t>
      </w:r>
    </w:p>
    <w:p w14:paraId="06802321" w14:textId="77777777" w:rsidR="00A7530D" w:rsidRDefault="0089629C" w:rsidP="0089629C">
      <w:pPr>
        <w:pStyle w:val="BodyText"/>
      </w:pPr>
      <w:r>
        <w:br/>
        <w:t xml:space="preserve">Another weakness of LTE’s and NR’s configuration signalling is the almost exclusive use of non-critical extensions, i.e., the addition of parameters to the end of a previously introduced information element. To facilitate that, RAN2 defines most fields in an IE as OPTIONAL </w:t>
      </w:r>
      <w:r w:rsidR="00A518A0">
        <w:t xml:space="preserve">which allows </w:t>
      </w:r>
      <w:r>
        <w:t>omit</w:t>
      </w:r>
      <w:r w:rsidR="00A518A0">
        <w:t>ting</w:t>
      </w:r>
      <w:r>
        <w:t xml:space="preserve"> the field when it becomes obsolete for the functionality of a later release. After a couple of releases many of the information elements (PDSCH-Config, </w:t>
      </w:r>
      <w:r w:rsidRPr="0051494E">
        <w:t>PDCCH-Config</w:t>
      </w:r>
      <w:r>
        <w:t xml:space="preserve">, </w:t>
      </w:r>
      <w:r w:rsidRPr="000E1F0B">
        <w:t>PUSCH-Config</w:t>
      </w:r>
      <w:r>
        <w:t xml:space="preserve">, …) comprise of many optional fields which suggests a great configuration flexibility. However, it is often ambiguous which combination of values is legitimate. RAN2 tries to capture constraints in field descriptions, condition tables or procedural text. But those are typically not complete and not easy to </w:t>
      </w:r>
      <w:r w:rsidR="00BD50FE">
        <w:t xml:space="preserve">test and </w:t>
      </w:r>
      <w:r>
        <w:t xml:space="preserve">validate. </w:t>
      </w:r>
    </w:p>
    <w:p w14:paraId="1982F365" w14:textId="77777777" w:rsidR="00A7530D" w:rsidRDefault="00A7530D" w:rsidP="00A7530D">
      <w:pPr>
        <w:pStyle w:val="Observation"/>
      </w:pPr>
      <w:bookmarkStart w:id="4" w:name="_Toc208857413"/>
      <w:bookmarkStart w:id="5" w:name="_Toc209708216"/>
      <w:bookmarkStart w:id="6" w:name="_Toc210402861"/>
      <w:r>
        <w:t>Continued non-critical extensions of large IEs tend to make it ambiguous which combination of parameters and values is valid</w:t>
      </w:r>
      <w:bookmarkEnd w:id="4"/>
      <w:bookmarkEnd w:id="5"/>
      <w:bookmarkEnd w:id="6"/>
    </w:p>
    <w:p w14:paraId="5A9B22F5" w14:textId="1AF8E430" w:rsidR="003011A0" w:rsidRDefault="0089629C" w:rsidP="0089629C">
      <w:pPr>
        <w:pStyle w:val="BodyText"/>
      </w:pPr>
      <w:r>
        <w:t xml:space="preserve">The use of a critical extension could be a viable alternative in many such cases. </w:t>
      </w:r>
      <w:r w:rsidR="00A7530D">
        <w:t xml:space="preserve">The new version of </w:t>
      </w:r>
      <w:r w:rsidR="00EC326B">
        <w:t xml:space="preserve">an IE type (e.g. PDSCH-Config-r22) would only contain the </w:t>
      </w:r>
      <w:r w:rsidR="00CD37BA">
        <w:t xml:space="preserve">fields required to configure this new PDSCH version. </w:t>
      </w:r>
    </w:p>
    <w:p w14:paraId="1873F415" w14:textId="4E78BBD2" w:rsidR="00326398" w:rsidRDefault="00326398" w:rsidP="0089629C">
      <w:pPr>
        <w:pStyle w:val="BodyText"/>
      </w:pPr>
      <w:r>
        <w:lastRenderedPageBreak/>
        <w:t xml:space="preserve">However, </w:t>
      </w:r>
      <w:r w:rsidR="000C35A3">
        <w:t xml:space="preserve">critical extensions had far-reaching consequences </w:t>
      </w:r>
      <w:r>
        <w:t>in NR</w:t>
      </w:r>
      <w:r w:rsidR="000C35A3">
        <w:t xml:space="preserve">’s ASN.1 structure. </w:t>
      </w:r>
      <w:r w:rsidR="000C3E69">
        <w:t>One reason is that w</w:t>
      </w:r>
      <w:r>
        <w:t xml:space="preserve">e typically configure the original IE type in </w:t>
      </w:r>
      <w:proofErr w:type="spellStart"/>
      <w:r>
        <w:t>AddMod</w:t>
      </w:r>
      <w:proofErr w:type="spellEnd"/>
      <w:r w:rsidR="00743924">
        <w:t>-</w:t>
      </w:r>
      <w:r>
        <w:t>lists</w:t>
      </w:r>
      <w:r w:rsidR="00743924">
        <w:t>:</w:t>
      </w:r>
      <w:r>
        <w:t xml:space="preserve"> </w:t>
      </w:r>
    </w:p>
    <w:p w14:paraId="44285B5D" w14:textId="77777777" w:rsidR="00326398" w:rsidRPr="00EE6E73" w:rsidRDefault="00326398" w:rsidP="00326398">
      <w:pPr>
        <w:pStyle w:val="PL"/>
      </w:pPr>
      <w:r w:rsidRPr="00EE6E73">
        <w:t xml:space="preserve">PDCCH-Config ::=                    </w:t>
      </w:r>
      <w:r w:rsidRPr="00EE6E73">
        <w:rPr>
          <w:color w:val="993366"/>
        </w:rPr>
        <w:t>SEQUENCE</w:t>
      </w:r>
      <w:r w:rsidRPr="00EE6E73">
        <w:t xml:space="preserve"> {</w:t>
      </w:r>
    </w:p>
    <w:p w14:paraId="5B45D7A6" w14:textId="0DC65E34" w:rsidR="00326398" w:rsidRPr="00EE6E73" w:rsidRDefault="00326398" w:rsidP="00326398">
      <w:pPr>
        <w:pStyle w:val="PL"/>
        <w:rPr>
          <w:color w:val="808080"/>
        </w:rPr>
      </w:pPr>
      <w:r w:rsidRPr="00EE6E73">
        <w:t xml:space="preserve">    controlResourceSetToAddModList      </w:t>
      </w:r>
      <w:r w:rsidRPr="00EE6E73">
        <w:rPr>
          <w:color w:val="993366"/>
        </w:rPr>
        <w:t>SEQUENCE</w:t>
      </w:r>
      <w:r w:rsidRPr="00EE6E73">
        <w:t>(</w:t>
      </w:r>
      <w:r w:rsidRPr="00EE6E73">
        <w:rPr>
          <w:color w:val="993366"/>
        </w:rPr>
        <w:t>SIZE</w:t>
      </w:r>
      <w:r w:rsidRPr="00EE6E73">
        <w:t xml:space="preserve"> (1..3))</w:t>
      </w:r>
      <w:r w:rsidRPr="00EE6E73">
        <w:rPr>
          <w:color w:val="993366"/>
        </w:rPr>
        <w:t xml:space="preserve"> OF</w:t>
      </w:r>
      <w:r w:rsidRPr="00EE6E73">
        <w:t xml:space="preserve"> ControlResourceSet</w:t>
      </w:r>
      <w:r>
        <w:t xml:space="preserve"> </w:t>
      </w:r>
      <w:r w:rsidRPr="00EE6E73">
        <w:rPr>
          <w:color w:val="993366"/>
        </w:rPr>
        <w:t>OPTIONAL</w:t>
      </w:r>
      <w:r w:rsidRPr="00EE6E73">
        <w:t>,</w:t>
      </w:r>
    </w:p>
    <w:p w14:paraId="216EE57B" w14:textId="650CDD4C" w:rsidR="00326398" w:rsidRPr="00EE6E73" w:rsidRDefault="00326398" w:rsidP="00326398">
      <w:pPr>
        <w:pStyle w:val="PL"/>
        <w:rPr>
          <w:color w:val="808080"/>
        </w:rPr>
      </w:pPr>
      <w:r w:rsidRPr="00EE6E73">
        <w:t xml:space="preserve">    controlResourceSetToReleaseList     </w:t>
      </w:r>
      <w:r w:rsidRPr="00EE6E73">
        <w:rPr>
          <w:color w:val="993366"/>
        </w:rPr>
        <w:t>SEQUENCE</w:t>
      </w:r>
      <w:r w:rsidRPr="00EE6E73">
        <w:t>(</w:t>
      </w:r>
      <w:r w:rsidRPr="00EE6E73">
        <w:rPr>
          <w:color w:val="993366"/>
        </w:rPr>
        <w:t>SIZE</w:t>
      </w:r>
      <w:r w:rsidRPr="00EE6E73">
        <w:t xml:space="preserve"> (1..3))</w:t>
      </w:r>
      <w:r w:rsidRPr="00EE6E73">
        <w:rPr>
          <w:color w:val="993366"/>
        </w:rPr>
        <w:t xml:space="preserve"> OF</w:t>
      </w:r>
      <w:r w:rsidRPr="00EE6E73">
        <w:t xml:space="preserve"> ControlResourceSetId </w:t>
      </w:r>
      <w:r w:rsidRPr="00EE6E73">
        <w:rPr>
          <w:color w:val="993366"/>
        </w:rPr>
        <w:t>OPTIONAL</w:t>
      </w:r>
      <w:r w:rsidRPr="00EE6E73">
        <w:t>,</w:t>
      </w:r>
    </w:p>
    <w:p w14:paraId="366661EC" w14:textId="3CC091F4" w:rsidR="00326398" w:rsidRPr="00EE6E73" w:rsidRDefault="00326398" w:rsidP="00326398">
      <w:pPr>
        <w:pStyle w:val="PL"/>
        <w:rPr>
          <w:color w:val="808080"/>
        </w:rPr>
      </w:pPr>
      <w:r w:rsidRPr="00EE6E73">
        <w:t xml:space="preserve">    </w:t>
      </w:r>
      <w:r w:rsidRPr="00363DCB">
        <w:rPr>
          <w:highlight w:val="yellow"/>
        </w:rPr>
        <w:t>searchSpacesToAddModList</w:t>
      </w:r>
      <w:r w:rsidRPr="00EE6E73">
        <w:t xml:space="preserve">            </w:t>
      </w:r>
      <w:r w:rsidRPr="00EE6E73">
        <w:rPr>
          <w:color w:val="993366"/>
        </w:rPr>
        <w:t>SEQUENCE</w:t>
      </w:r>
      <w:r w:rsidRPr="00EE6E73">
        <w:t>(</w:t>
      </w:r>
      <w:r w:rsidRPr="00EE6E73">
        <w:rPr>
          <w:color w:val="993366"/>
        </w:rPr>
        <w:t>SIZE</w:t>
      </w:r>
      <w:r w:rsidRPr="00EE6E73">
        <w:t xml:space="preserve"> (1..10))</w:t>
      </w:r>
      <w:r w:rsidRPr="00EE6E73">
        <w:rPr>
          <w:color w:val="993366"/>
        </w:rPr>
        <w:t xml:space="preserve"> OF</w:t>
      </w:r>
      <w:r w:rsidRPr="00EE6E73">
        <w:t xml:space="preserve"> </w:t>
      </w:r>
      <w:r w:rsidRPr="00363DCB">
        <w:rPr>
          <w:highlight w:val="yellow"/>
        </w:rPr>
        <w:t>SearchSpace</w:t>
      </w:r>
      <w:r w:rsidRPr="00EE6E73">
        <w:t xml:space="preserve"> </w:t>
      </w:r>
      <w:r w:rsidRPr="00EE6E73">
        <w:rPr>
          <w:color w:val="993366"/>
        </w:rPr>
        <w:t>OPTIONAL</w:t>
      </w:r>
      <w:r w:rsidRPr="00EE6E73">
        <w:t>,</w:t>
      </w:r>
    </w:p>
    <w:p w14:paraId="10C76418" w14:textId="5F4438E6" w:rsidR="00326398" w:rsidRPr="00EE6E73" w:rsidRDefault="00326398" w:rsidP="00326398">
      <w:pPr>
        <w:pStyle w:val="PL"/>
        <w:rPr>
          <w:color w:val="808080"/>
        </w:rPr>
      </w:pPr>
      <w:r w:rsidRPr="00EE6E73">
        <w:t xml:space="preserve">    searchSpacesToReleaseList           </w:t>
      </w:r>
      <w:r w:rsidRPr="00EE6E73">
        <w:rPr>
          <w:color w:val="993366"/>
        </w:rPr>
        <w:t>SEQUENCE</w:t>
      </w:r>
      <w:r w:rsidRPr="00EE6E73">
        <w:t>(</w:t>
      </w:r>
      <w:r w:rsidRPr="00EE6E73">
        <w:rPr>
          <w:color w:val="993366"/>
        </w:rPr>
        <w:t>SIZE</w:t>
      </w:r>
      <w:r w:rsidRPr="00EE6E73">
        <w:t xml:space="preserve"> (1..10))</w:t>
      </w:r>
      <w:r w:rsidRPr="00EE6E73">
        <w:rPr>
          <w:color w:val="993366"/>
        </w:rPr>
        <w:t xml:space="preserve"> OF</w:t>
      </w:r>
      <w:r w:rsidRPr="00EE6E73">
        <w:t xml:space="preserve"> SearchSpaceId </w:t>
      </w:r>
      <w:r w:rsidRPr="00EE6E73">
        <w:rPr>
          <w:color w:val="993366"/>
        </w:rPr>
        <w:t>OPTIONAL</w:t>
      </w:r>
      <w:r w:rsidRPr="00EE6E73">
        <w:t>,</w:t>
      </w:r>
    </w:p>
    <w:p w14:paraId="0EA3FCDD" w14:textId="77777777" w:rsidR="00326398" w:rsidRDefault="00326398" w:rsidP="0089629C">
      <w:pPr>
        <w:pStyle w:val="BodyText"/>
      </w:pPr>
    </w:p>
    <w:p w14:paraId="245DB1C9" w14:textId="31B6B298" w:rsidR="00326398" w:rsidRDefault="00743924" w:rsidP="0089629C">
      <w:pPr>
        <w:pStyle w:val="BodyText"/>
      </w:pPr>
      <w:r>
        <w:t xml:space="preserve">Therein, each element was associated with an ID that was used </w:t>
      </w:r>
      <w:r w:rsidRPr="00363DCB">
        <w:rPr>
          <w:b/>
          <w:bCs/>
        </w:rPr>
        <w:t>within</w:t>
      </w:r>
      <w:r>
        <w:t xml:space="preserve"> the original IE type</w:t>
      </w:r>
      <w:r w:rsidR="00363DCB">
        <w:t>:</w:t>
      </w:r>
    </w:p>
    <w:p w14:paraId="23DE2797" w14:textId="77777777" w:rsidR="00326398" w:rsidRPr="00EE6E73" w:rsidRDefault="00326398" w:rsidP="00326398">
      <w:pPr>
        <w:pStyle w:val="PL"/>
      </w:pPr>
      <w:r w:rsidRPr="00EE6E73">
        <w:t xml:space="preserve">SearchSpace ::=                         </w:t>
      </w:r>
      <w:r w:rsidRPr="00EE6E73">
        <w:rPr>
          <w:color w:val="993366"/>
        </w:rPr>
        <w:t>SEQUENCE</w:t>
      </w:r>
      <w:r w:rsidRPr="00EE6E73">
        <w:t xml:space="preserve"> {</w:t>
      </w:r>
    </w:p>
    <w:p w14:paraId="1CA18D1F" w14:textId="77777777" w:rsidR="00326398" w:rsidRPr="00EE6E73" w:rsidRDefault="00326398" w:rsidP="00326398">
      <w:pPr>
        <w:pStyle w:val="PL"/>
      </w:pPr>
      <w:r w:rsidRPr="00EE6E73">
        <w:t xml:space="preserve">    searchSpaceId                           </w:t>
      </w:r>
      <w:r w:rsidRPr="00363DCB">
        <w:rPr>
          <w:highlight w:val="yellow"/>
        </w:rPr>
        <w:t>SearchSpaceId</w:t>
      </w:r>
      <w:r w:rsidRPr="00EE6E73">
        <w:t>,</w:t>
      </w:r>
    </w:p>
    <w:p w14:paraId="7CAF99C0" w14:textId="77777777" w:rsidR="00326398" w:rsidRPr="00EE6E73" w:rsidRDefault="00326398" w:rsidP="00326398">
      <w:pPr>
        <w:pStyle w:val="PL"/>
        <w:rPr>
          <w:color w:val="808080"/>
        </w:rPr>
      </w:pPr>
      <w:r w:rsidRPr="00EE6E73">
        <w:t xml:space="preserve">    controlResourceSetId                    ControlResourceSetId                                        </w:t>
      </w:r>
      <w:r w:rsidRPr="00EE6E73">
        <w:rPr>
          <w:color w:val="993366"/>
        </w:rPr>
        <w:t>OPTIONAL</w:t>
      </w:r>
      <w:r w:rsidRPr="00EE6E73">
        <w:t xml:space="preserve">,   </w:t>
      </w:r>
      <w:r w:rsidRPr="00EE6E73">
        <w:rPr>
          <w:color w:val="808080"/>
        </w:rPr>
        <w:t>-- Cond SetupOnly</w:t>
      </w:r>
    </w:p>
    <w:p w14:paraId="77AA637E" w14:textId="77777777" w:rsidR="00326398" w:rsidRPr="00EE6E73" w:rsidRDefault="00326398" w:rsidP="00326398">
      <w:pPr>
        <w:pStyle w:val="PL"/>
      </w:pPr>
      <w:r w:rsidRPr="00EE6E73">
        <w:t xml:space="preserve">    monitoringSlotPeriodicityAndOffset      </w:t>
      </w:r>
      <w:r w:rsidRPr="00EE6E73">
        <w:rPr>
          <w:color w:val="993366"/>
        </w:rPr>
        <w:t>CHOICE</w:t>
      </w:r>
      <w:r w:rsidRPr="00EE6E73">
        <w:t xml:space="preserve"> {</w:t>
      </w:r>
    </w:p>
    <w:p w14:paraId="5EB7C5A5" w14:textId="77777777" w:rsidR="00326398" w:rsidRPr="00EE6E73" w:rsidRDefault="00326398" w:rsidP="00326398">
      <w:pPr>
        <w:pStyle w:val="PL"/>
      </w:pPr>
      <w:r w:rsidRPr="00EE6E73">
        <w:t xml:space="preserve">        sl1                                     </w:t>
      </w:r>
      <w:r w:rsidRPr="00EE6E73">
        <w:rPr>
          <w:color w:val="993366"/>
        </w:rPr>
        <w:t>NULL</w:t>
      </w:r>
      <w:r w:rsidRPr="00EE6E73">
        <w:t>,</w:t>
      </w:r>
    </w:p>
    <w:p w14:paraId="4B2621EF" w14:textId="77777777" w:rsidR="00326398" w:rsidRPr="00EE6E73" w:rsidRDefault="00326398" w:rsidP="00326398">
      <w:pPr>
        <w:pStyle w:val="PL"/>
      </w:pPr>
      <w:r w:rsidRPr="00EE6E73">
        <w:t xml:space="preserve">        sl2                                     </w:t>
      </w:r>
      <w:r w:rsidRPr="00EE6E73">
        <w:rPr>
          <w:color w:val="993366"/>
        </w:rPr>
        <w:t>INTEGER</w:t>
      </w:r>
      <w:r w:rsidRPr="00EE6E73">
        <w:t xml:space="preserve"> (0..1),</w:t>
      </w:r>
    </w:p>
    <w:p w14:paraId="10F0A33F" w14:textId="77777777" w:rsidR="00326398" w:rsidRPr="00EE6E73" w:rsidRDefault="00326398" w:rsidP="00326398">
      <w:pPr>
        <w:pStyle w:val="PL"/>
      </w:pPr>
      <w:r w:rsidRPr="00EE6E73">
        <w:t xml:space="preserve">        sl4                                     </w:t>
      </w:r>
      <w:r w:rsidRPr="00EE6E73">
        <w:rPr>
          <w:color w:val="993366"/>
        </w:rPr>
        <w:t>INTEGER</w:t>
      </w:r>
      <w:r w:rsidRPr="00EE6E73">
        <w:t xml:space="preserve"> (0..3),</w:t>
      </w:r>
    </w:p>
    <w:p w14:paraId="7AB35E0E" w14:textId="77777777" w:rsidR="00326398" w:rsidRPr="00EE6E73" w:rsidRDefault="00326398" w:rsidP="00326398">
      <w:pPr>
        <w:pStyle w:val="PL"/>
      </w:pPr>
      <w:r w:rsidRPr="00EE6E73">
        <w:t xml:space="preserve">        sl5                                     </w:t>
      </w:r>
      <w:r w:rsidRPr="00EE6E73">
        <w:rPr>
          <w:color w:val="993366"/>
        </w:rPr>
        <w:t>INTEGER</w:t>
      </w:r>
      <w:r w:rsidRPr="00EE6E73">
        <w:t xml:space="preserve"> (0..4),</w:t>
      </w:r>
    </w:p>
    <w:p w14:paraId="4E2C4BCD" w14:textId="77777777" w:rsidR="00326398" w:rsidRPr="00EE6E73" w:rsidRDefault="00326398" w:rsidP="00326398">
      <w:pPr>
        <w:pStyle w:val="PL"/>
      </w:pPr>
      <w:r w:rsidRPr="00EE6E73">
        <w:t xml:space="preserve">        sl8                                     </w:t>
      </w:r>
      <w:r w:rsidRPr="00EE6E73">
        <w:rPr>
          <w:color w:val="993366"/>
        </w:rPr>
        <w:t>INTEGER</w:t>
      </w:r>
      <w:r w:rsidRPr="00EE6E73">
        <w:t xml:space="preserve"> (0..7),</w:t>
      </w:r>
    </w:p>
    <w:p w14:paraId="1464D61C" w14:textId="77777777" w:rsidR="00326398" w:rsidRPr="00EE6E73" w:rsidRDefault="00326398" w:rsidP="00326398">
      <w:pPr>
        <w:pStyle w:val="PL"/>
      </w:pPr>
      <w:r w:rsidRPr="00EE6E73">
        <w:t xml:space="preserve">        sl10                                    </w:t>
      </w:r>
      <w:r w:rsidRPr="00EE6E73">
        <w:rPr>
          <w:color w:val="993366"/>
        </w:rPr>
        <w:t>INTEGER</w:t>
      </w:r>
      <w:r w:rsidRPr="00EE6E73">
        <w:t xml:space="preserve"> (0..9),</w:t>
      </w:r>
    </w:p>
    <w:p w14:paraId="7B76B374" w14:textId="77777777" w:rsidR="00326398" w:rsidRPr="00EE6E73" w:rsidRDefault="00326398" w:rsidP="00326398">
      <w:pPr>
        <w:pStyle w:val="PL"/>
      </w:pPr>
      <w:r w:rsidRPr="00EE6E73">
        <w:t xml:space="preserve">        sl16                                    </w:t>
      </w:r>
      <w:r w:rsidRPr="00EE6E73">
        <w:rPr>
          <w:color w:val="993366"/>
        </w:rPr>
        <w:t>INTEGER</w:t>
      </w:r>
      <w:r w:rsidRPr="00EE6E73">
        <w:t xml:space="preserve"> (0..15),</w:t>
      </w:r>
    </w:p>
    <w:p w14:paraId="214D0C50" w14:textId="77777777" w:rsidR="00326398" w:rsidRDefault="00326398" w:rsidP="0089629C">
      <w:pPr>
        <w:pStyle w:val="BodyText"/>
      </w:pPr>
    </w:p>
    <w:p w14:paraId="09294187" w14:textId="77777777" w:rsidR="00D6417E" w:rsidRDefault="007417F6" w:rsidP="0089629C">
      <w:pPr>
        <w:pStyle w:val="BodyText"/>
      </w:pPr>
      <w:r>
        <w:t xml:space="preserve">Had we defined </w:t>
      </w:r>
      <w:r w:rsidR="00E539E2">
        <w:t xml:space="preserve">a critical extension of </w:t>
      </w:r>
      <w:r w:rsidR="00BB0E59">
        <w:t>the IE (e.g. SearchSpace</w:t>
      </w:r>
      <w:r w:rsidR="002B483B">
        <w:t>-r21)</w:t>
      </w:r>
      <w:r w:rsidR="004120EF">
        <w:t xml:space="preserve"> one </w:t>
      </w:r>
      <w:r>
        <w:t xml:space="preserve">would have had </w:t>
      </w:r>
      <w:r w:rsidR="004120EF">
        <w:t>to define at least a</w:t>
      </w:r>
      <w:r w:rsidR="00671A28">
        <w:t xml:space="preserve"> new </w:t>
      </w:r>
      <w:proofErr w:type="spellStart"/>
      <w:r w:rsidR="00671A28">
        <w:t>AddMod</w:t>
      </w:r>
      <w:proofErr w:type="spellEnd"/>
      <w:r w:rsidR="00671A28">
        <w:t xml:space="preserve"> list for that new type</w:t>
      </w:r>
      <w:r w:rsidR="00B91EF0">
        <w:t xml:space="preserve"> which bears the risk of race conditions </w:t>
      </w:r>
      <w:r w:rsidR="00D6417E">
        <w:t xml:space="preserve">e.g. if </w:t>
      </w:r>
      <w:r w:rsidR="009C3DCC">
        <w:t xml:space="preserve">both lists contain an element with the same ID. </w:t>
      </w:r>
    </w:p>
    <w:p w14:paraId="4F9B4D21" w14:textId="3C3659D1" w:rsidR="003D2197" w:rsidRDefault="00D83A6F" w:rsidP="0089629C">
      <w:pPr>
        <w:pStyle w:val="BodyText"/>
      </w:pPr>
      <w:r>
        <w:t xml:space="preserve">Furthermore, </w:t>
      </w:r>
      <w:r w:rsidR="00F61562">
        <w:t xml:space="preserve">RAN2 tends to </w:t>
      </w:r>
      <w:r w:rsidR="00423780">
        <w:t xml:space="preserve">restrict the size of the IDs to the bare minimum required </w:t>
      </w:r>
      <w:r w:rsidR="003A4234">
        <w:t>for</w:t>
      </w:r>
      <w:r w:rsidR="00423780">
        <w:t xml:space="preserve"> the original version of the IE type. </w:t>
      </w:r>
      <w:r w:rsidR="00DE2910">
        <w:t>Consequently</w:t>
      </w:r>
      <w:r w:rsidR="00D1761E">
        <w:t xml:space="preserve">, </w:t>
      </w:r>
      <w:r w:rsidR="0098618B">
        <w:t xml:space="preserve">also </w:t>
      </w:r>
      <w:r w:rsidR="00302D7C">
        <w:t xml:space="preserve">a new </w:t>
      </w:r>
      <w:r w:rsidR="0098618B">
        <w:t xml:space="preserve">ID type </w:t>
      </w:r>
      <w:r w:rsidR="00302D7C">
        <w:t xml:space="preserve">had to be introduced </w:t>
      </w:r>
      <w:r w:rsidR="00D1761E">
        <w:t xml:space="preserve">in some cases </w:t>
      </w:r>
      <w:r w:rsidR="00302D7C">
        <w:t xml:space="preserve">(e.g. </w:t>
      </w:r>
      <w:r w:rsidR="00302D7C" w:rsidRPr="00EE6E73">
        <w:t>ControlResourceSetId-r16</w:t>
      </w:r>
      <w:r w:rsidR="00302D7C">
        <w:t xml:space="preserve"> replacing the original </w:t>
      </w:r>
      <w:proofErr w:type="spellStart"/>
      <w:r w:rsidR="00302D7C" w:rsidRPr="00EE6E73">
        <w:t>ControlResourceSetId</w:t>
      </w:r>
      <w:proofErr w:type="spellEnd"/>
      <w:r w:rsidR="00302D7C">
        <w:t>)</w:t>
      </w:r>
      <w:r w:rsidR="0098618B">
        <w:t xml:space="preserve">. </w:t>
      </w:r>
      <w:r w:rsidR="00506176">
        <w:t xml:space="preserve">This </w:t>
      </w:r>
      <w:r w:rsidR="00994483">
        <w:t xml:space="preserve">can </w:t>
      </w:r>
      <w:r w:rsidR="00506176">
        <w:t xml:space="preserve">have far reaching impact on other parts of the configuration structure </w:t>
      </w:r>
      <w:r w:rsidR="004F46CB">
        <w:t xml:space="preserve">if </w:t>
      </w:r>
      <w:r w:rsidR="009507DC">
        <w:t xml:space="preserve">other IEs </w:t>
      </w:r>
      <w:r w:rsidR="00C91A6E">
        <w:t xml:space="preserve">(e.g. </w:t>
      </w:r>
      <w:proofErr w:type="spellStart"/>
      <w:r w:rsidR="00C91A6E">
        <w:t>SearchSpace</w:t>
      </w:r>
      <w:proofErr w:type="spellEnd"/>
      <w:r w:rsidR="00557E51">
        <w:t xml:space="preserve">) </w:t>
      </w:r>
      <w:r w:rsidR="00E9423A">
        <w:t xml:space="preserve">used the original ID to refer to the original </w:t>
      </w:r>
      <w:r w:rsidR="00170AA9">
        <w:t xml:space="preserve">IE type. </w:t>
      </w:r>
      <w:r w:rsidR="00571A54">
        <w:t xml:space="preserve">In such cases, </w:t>
      </w:r>
      <w:r w:rsidR="006C5716">
        <w:t xml:space="preserve">also those other IEs </w:t>
      </w:r>
      <w:r w:rsidR="00FE181C">
        <w:t xml:space="preserve">would need to </w:t>
      </w:r>
      <w:r w:rsidR="003C2C40">
        <w:t xml:space="preserve">use (also) the new ID type to refer to instances of the new IE type. </w:t>
      </w:r>
      <w:r w:rsidR="003D2197">
        <w:t>T</w:t>
      </w:r>
      <w:r w:rsidR="00051943">
        <w:t xml:space="preserve">his would cause </w:t>
      </w:r>
      <w:r w:rsidR="003D2197">
        <w:t xml:space="preserve">additional </w:t>
      </w:r>
      <w:r w:rsidR="0068484C">
        <w:t xml:space="preserve">complexity and </w:t>
      </w:r>
      <w:r w:rsidR="00051943">
        <w:t xml:space="preserve">ambiguity </w:t>
      </w:r>
      <w:r w:rsidR="00684287">
        <w:t xml:space="preserve">in those </w:t>
      </w:r>
      <w:r w:rsidR="00051943">
        <w:t>other IE</w:t>
      </w:r>
      <w:r w:rsidR="00684287">
        <w:t xml:space="preserve"> types. </w:t>
      </w:r>
    </w:p>
    <w:p w14:paraId="20C7364F" w14:textId="6CDDA904" w:rsidR="00ED74F2" w:rsidRDefault="00684287" w:rsidP="0089629C">
      <w:pPr>
        <w:pStyle w:val="BodyText"/>
      </w:pPr>
      <w:r>
        <w:t xml:space="preserve">We suspect that </w:t>
      </w:r>
      <w:r w:rsidR="003D2197">
        <w:t xml:space="preserve">these were the </w:t>
      </w:r>
      <w:r>
        <w:t>primary reason</w:t>
      </w:r>
      <w:r w:rsidR="003D2197">
        <w:t>s</w:t>
      </w:r>
      <w:r>
        <w:t xml:space="preserve"> why RAN2 used critical extensions of IEs </w:t>
      </w:r>
      <w:r w:rsidR="003D2197">
        <w:t xml:space="preserve">only </w:t>
      </w:r>
      <w:r>
        <w:t>rarely</w:t>
      </w:r>
      <w:r w:rsidR="001933E8">
        <w:t xml:space="preserve"> despite the potential benefits outlined above. </w:t>
      </w:r>
    </w:p>
    <w:p w14:paraId="3CC79B3A" w14:textId="27725B9A" w:rsidR="004B77C6" w:rsidRDefault="0089629C" w:rsidP="0089629C">
      <w:pPr>
        <w:pStyle w:val="BodyText"/>
      </w:pPr>
      <w:r>
        <w:t xml:space="preserve">For 6G RAN2 should develop a configuration messages structure that is easy to use and extend. </w:t>
      </w:r>
      <w:r w:rsidR="00AA43DA">
        <w:t xml:space="preserve">For example, </w:t>
      </w:r>
      <w:r w:rsidR="003E0611">
        <w:t xml:space="preserve">RAN2 could prepare the later use of critical extensions by defining </w:t>
      </w:r>
      <w:r w:rsidR="007A247C">
        <w:t>“</w:t>
      </w:r>
      <w:r w:rsidR="00DC1477">
        <w:t>super-types</w:t>
      </w:r>
      <w:r w:rsidR="007A247C">
        <w:t>”</w:t>
      </w:r>
      <w:r w:rsidR="00795331">
        <w:t xml:space="preserve"> already in the first version of the specification </w:t>
      </w:r>
      <w:r w:rsidR="002103D2">
        <w:t xml:space="preserve">and to </w:t>
      </w:r>
      <w:r w:rsidR="00744553">
        <w:t xml:space="preserve">use those </w:t>
      </w:r>
      <w:r w:rsidR="00504F78">
        <w:t xml:space="preserve">in the </w:t>
      </w:r>
      <w:proofErr w:type="spellStart"/>
      <w:r w:rsidR="00504F78">
        <w:t>AddMod</w:t>
      </w:r>
      <w:proofErr w:type="spellEnd"/>
      <w:r w:rsidR="00504F78">
        <w:t>/Release</w:t>
      </w:r>
      <w:r w:rsidR="00557992">
        <w:t xml:space="preserve">-lists. If sufficiently large IDs refer to those super-type elements, </w:t>
      </w:r>
      <w:r w:rsidR="00710CAA">
        <w:t xml:space="preserve">critical extensions (new </w:t>
      </w:r>
      <w:r w:rsidR="00D91A59">
        <w:t>variants of the super-</w:t>
      </w:r>
      <w:r w:rsidR="00710CAA">
        <w:t>types)</w:t>
      </w:r>
      <w:r w:rsidR="00D91A59">
        <w:t xml:space="preserve"> can be introduced later without affecting other parts of the specification. </w:t>
      </w:r>
    </w:p>
    <w:p w14:paraId="4D87358A" w14:textId="24F4A88F" w:rsidR="0089629C" w:rsidRDefault="00D91A59" w:rsidP="0089629C">
      <w:pPr>
        <w:pStyle w:val="BodyText"/>
      </w:pPr>
      <w:r>
        <w:t>Furthermore, we observe that h</w:t>
      </w:r>
      <w:r w:rsidR="0089629C">
        <w:t xml:space="preserve">ierarchical nesting levels should be minimized. This makes it easy from a signalling point of view to introduce new features which require configuring different types or cardinalities </w:t>
      </w:r>
      <w:r w:rsidR="00B7547C">
        <w:t>or different IE types</w:t>
      </w:r>
      <w:r w:rsidR="0089629C">
        <w:t xml:space="preserve">. </w:t>
      </w:r>
    </w:p>
    <w:p w14:paraId="571DD69C" w14:textId="3BE497D0" w:rsidR="0089629C" w:rsidRDefault="00B307C7" w:rsidP="0089629C">
      <w:pPr>
        <w:pStyle w:val="Proposal"/>
      </w:pPr>
      <w:bookmarkStart w:id="7" w:name="_Toc208857420"/>
      <w:bookmarkStart w:id="8" w:name="_Toc209708229"/>
      <w:bookmarkStart w:id="9" w:name="_Toc210402856"/>
      <w:r>
        <w:t xml:space="preserve">6G’s </w:t>
      </w:r>
      <w:r w:rsidR="0089629C" w:rsidRPr="00297A00">
        <w:t xml:space="preserve">configuration message structure </w:t>
      </w:r>
      <w:r>
        <w:t xml:space="preserve">should be </w:t>
      </w:r>
      <w:r w:rsidR="0003302F">
        <w:t>convenient</w:t>
      </w:r>
      <w:r w:rsidR="0003302F" w:rsidRPr="00297A00">
        <w:t xml:space="preserve"> </w:t>
      </w:r>
      <w:r w:rsidR="0089629C" w:rsidRPr="00297A00">
        <w:t xml:space="preserve">to use </w:t>
      </w:r>
      <w:r w:rsidR="0003302F">
        <w:t>in product</w:t>
      </w:r>
      <w:r w:rsidR="00C00E71">
        <w:t xml:space="preserve">s </w:t>
      </w:r>
      <w:r w:rsidR="0089629C" w:rsidRPr="00297A00">
        <w:t xml:space="preserve">and </w:t>
      </w:r>
      <w:r w:rsidR="0003302F">
        <w:t xml:space="preserve">easy to </w:t>
      </w:r>
      <w:r w:rsidR="0089629C" w:rsidRPr="00297A00">
        <w:t>extend</w:t>
      </w:r>
      <w:r w:rsidR="0003302F">
        <w:t xml:space="preserve"> in later releases</w:t>
      </w:r>
      <w:r w:rsidR="0089629C" w:rsidRPr="00297A00">
        <w:t>.</w:t>
      </w:r>
      <w:bookmarkEnd w:id="7"/>
      <w:bookmarkEnd w:id="8"/>
      <w:bookmarkEnd w:id="9"/>
      <w:r w:rsidR="0089629C" w:rsidRPr="00297A00">
        <w:t xml:space="preserve"> </w:t>
      </w:r>
    </w:p>
    <w:p w14:paraId="2EBEF298" w14:textId="77777777" w:rsidR="0089629C" w:rsidRDefault="0089629C" w:rsidP="0089629C">
      <w:pPr>
        <w:pStyle w:val="Heading2"/>
      </w:pPr>
      <w:r>
        <w:t>2.2</w:t>
      </w:r>
      <w:r>
        <w:tab/>
        <w:t>The delta</w:t>
      </w:r>
    </w:p>
    <w:p w14:paraId="6E6D757A" w14:textId="6CCA0465" w:rsidR="0089629C" w:rsidRDefault="0089629C" w:rsidP="0089629C">
      <w:pPr>
        <w:pStyle w:val="BodyText"/>
      </w:pPr>
      <w:r w:rsidRPr="00176E0F">
        <w:t xml:space="preserve">To reduce the </w:t>
      </w:r>
      <w:r>
        <w:t xml:space="preserve">downlink </w:t>
      </w:r>
      <w:r w:rsidRPr="00176E0F">
        <w:t>signal</w:t>
      </w:r>
      <w:r>
        <w:t>l</w:t>
      </w:r>
      <w:r w:rsidRPr="00176E0F">
        <w:t>ing overhea</w:t>
      </w:r>
      <w:r>
        <w:t>d</w:t>
      </w:r>
      <w:r w:rsidRPr="00176E0F">
        <w:t xml:space="preserve">, </w:t>
      </w:r>
      <w:r>
        <w:t xml:space="preserve">LTE and NR supported delta signalling. Traditionally, RAN2 assumes that the use of delta signalling is the default for reconfigurations within a gNB but also for mobility across gNBs. RAN2 specifies delta signalling by capturing what a UE shall do if ASN.1 fields were previously configured but are absent in a subsequent RRC reconfiguration message. Those rules are captured in need codes (comments in the </w:t>
      </w:r>
      <w:r w:rsidR="00C961C0">
        <w:t xml:space="preserve">definitions in the </w:t>
      </w:r>
      <w:r>
        <w:t xml:space="preserve">ASN.1 </w:t>
      </w:r>
      <w:r w:rsidR="00C961C0">
        <w:t>syntax</w:t>
      </w:r>
      <w:r>
        <w:t>), field descriptions, condition tables and procedural text. While this seems simple at a first glance, it turns out to be ambiguous and impossible to automate</w:t>
      </w:r>
      <w:r w:rsidR="00C961C0">
        <w:t xml:space="preserve"> and </w:t>
      </w:r>
      <w:r w:rsidR="00C00E71">
        <w:t xml:space="preserve">hence </w:t>
      </w:r>
      <w:r w:rsidR="00C961C0">
        <w:t>results in errors in implementations and testing</w:t>
      </w:r>
      <w:r>
        <w:t xml:space="preserve">. </w:t>
      </w:r>
    </w:p>
    <w:p w14:paraId="7840B55D" w14:textId="77777777" w:rsidR="0089629C" w:rsidRDefault="0089629C" w:rsidP="0089629C">
      <w:pPr>
        <w:pStyle w:val="Observation"/>
      </w:pPr>
      <w:bookmarkStart w:id="10" w:name="_Toc208857414"/>
      <w:bookmarkStart w:id="11" w:name="_Toc209708217"/>
      <w:bookmarkStart w:id="12" w:name="_Toc210402862"/>
      <w:r>
        <w:t>LTE’s and NR’s ASN.1 delta signalling cannot be automated since rules are captured in need codes, field descriptions, condition tables and procedural text.</w:t>
      </w:r>
      <w:bookmarkEnd w:id="10"/>
      <w:bookmarkEnd w:id="11"/>
      <w:bookmarkEnd w:id="12"/>
      <w:r>
        <w:t xml:space="preserve"> </w:t>
      </w:r>
    </w:p>
    <w:p w14:paraId="657AAE4A" w14:textId="72179755" w:rsidR="0089629C" w:rsidRDefault="0089629C" w:rsidP="0089629C">
      <w:pPr>
        <w:pStyle w:val="BodyText"/>
      </w:pPr>
      <w:r>
        <w:t xml:space="preserve">Those challenges led to the unfortunate situation that delta signalling is hardly used in products – especially not for inter-node mobility where small configuration messages would have been particularly beneficial. The reason is that inter-node support would require that a target gNB parses an incoming </w:t>
      </w:r>
      <w:r w:rsidR="00330078">
        <w:t xml:space="preserve">UE </w:t>
      </w:r>
      <w:r>
        <w:t xml:space="preserve">configuration </w:t>
      </w:r>
      <w:r w:rsidR="00330078">
        <w:t xml:space="preserve">produced by the source node </w:t>
      </w:r>
      <w:r>
        <w:t xml:space="preserve">and determines unambiguously which of the child branches/fields therein it needs </w:t>
      </w:r>
      <w:r>
        <w:lastRenderedPageBreak/>
        <w:t xml:space="preserve">to release or modify. While this would be possible for fields corresponding to functionality supported by this target gNB, it isn’t feasible for all other fields that this gNB does </w:t>
      </w:r>
      <w:r w:rsidRPr="00D2015F">
        <w:rPr>
          <w:u w:val="single"/>
        </w:rPr>
        <w:t>not</w:t>
      </w:r>
      <w:r>
        <w:t xml:space="preserve"> support but that a source node might have used. </w:t>
      </w:r>
    </w:p>
    <w:p w14:paraId="2E7D3050" w14:textId="48C5535C" w:rsidR="0089629C" w:rsidRDefault="00C00E71" w:rsidP="0089629C">
      <w:pPr>
        <w:pStyle w:val="Observation"/>
      </w:pPr>
      <w:bookmarkStart w:id="13" w:name="_Toc208857415"/>
      <w:bookmarkStart w:id="14" w:name="_Toc209708218"/>
      <w:bookmarkStart w:id="15" w:name="_Toc210402863"/>
      <w:r>
        <w:t>NR</w:t>
      </w:r>
      <w:r w:rsidR="0089629C">
        <w:t>’s delta signalling isn’t feasible for inter-node reconfigurations since the target node would need to support releasing features which it does not support itself.</w:t>
      </w:r>
      <w:bookmarkEnd w:id="13"/>
      <w:bookmarkEnd w:id="14"/>
      <w:bookmarkEnd w:id="15"/>
      <w:r w:rsidR="0089629C">
        <w:t xml:space="preserve"> </w:t>
      </w:r>
    </w:p>
    <w:p w14:paraId="13B34854" w14:textId="6359FAA7" w:rsidR="0089629C" w:rsidRDefault="0089629C" w:rsidP="0089629C">
      <w:pPr>
        <w:pStyle w:val="BodyText"/>
      </w:pPr>
      <w:r>
        <w:t xml:space="preserve">It should be noted that a UE does not face the same problem since it may assume that a gNB configures only those fields that </w:t>
      </w:r>
      <w:r w:rsidR="00330078">
        <w:t>the UE</w:t>
      </w:r>
      <w:r>
        <w:t xml:space="preserve"> supports</w:t>
      </w:r>
      <w:r w:rsidR="00330078">
        <w:t xml:space="preserve"> according to its UE capabilities</w:t>
      </w:r>
      <w:r>
        <w:t xml:space="preserve">. Nevertheless, implementing NR’s or LTE’s delta signalling is extremely challenging also for UEs. And in cases where we try to use delta signalling for (intra-gNB) reconfigurations we </w:t>
      </w:r>
      <w:r w:rsidR="00C961C0">
        <w:t xml:space="preserve">have </w:t>
      </w:r>
      <w:r>
        <w:t>notice</w:t>
      </w:r>
      <w:r w:rsidR="00C961C0">
        <w:t>d</w:t>
      </w:r>
      <w:r>
        <w:t xml:space="preserve"> that there is often </w:t>
      </w:r>
      <w:r w:rsidR="00FE7812">
        <w:t xml:space="preserve">some </w:t>
      </w:r>
      <w:r>
        <w:t>UE</w:t>
      </w:r>
      <w:r w:rsidR="00862AA7">
        <w:t>s</w:t>
      </w:r>
      <w:r>
        <w:t>/chipset</w:t>
      </w:r>
      <w:r w:rsidR="00862AA7">
        <w:t>s</w:t>
      </w:r>
      <w:r>
        <w:t xml:space="preserve"> that fail to process those messages correctly. </w:t>
      </w:r>
    </w:p>
    <w:p w14:paraId="548C737F" w14:textId="0DF1CC36" w:rsidR="00C00E71" w:rsidRDefault="00C00E71" w:rsidP="00C00E71">
      <w:pPr>
        <w:pStyle w:val="Observation"/>
      </w:pPr>
      <w:bookmarkStart w:id="16" w:name="_Toc210402864"/>
      <w:r>
        <w:t xml:space="preserve">NR’s </w:t>
      </w:r>
      <w:r w:rsidR="007B22E3">
        <w:t xml:space="preserve">way of supporting </w:t>
      </w:r>
      <w:r>
        <w:t xml:space="preserve">delta signalling </w:t>
      </w:r>
      <w:r w:rsidR="007B22E3">
        <w:t xml:space="preserve">by means of need-codes </w:t>
      </w:r>
      <w:r>
        <w:t xml:space="preserve">is error-prone </w:t>
      </w:r>
      <w:r w:rsidR="007B22E3">
        <w:t xml:space="preserve">and </w:t>
      </w:r>
      <w:r>
        <w:t>results in error cases in live networks despite extensive IODT.</w:t>
      </w:r>
      <w:bookmarkEnd w:id="16"/>
      <w:r>
        <w:t xml:space="preserve"> </w:t>
      </w:r>
    </w:p>
    <w:p w14:paraId="5FEA7B22" w14:textId="1643A3B6" w:rsidR="0089629C" w:rsidRPr="002775BB" w:rsidRDefault="0089629C" w:rsidP="0089629C">
      <w:pPr>
        <w:pStyle w:val="BodyText"/>
      </w:pPr>
      <w:r w:rsidRPr="002775BB">
        <w:t xml:space="preserve">6G should therefore use a simple yet efficient in-line definition of delta signalling. It is vital that the delta signalling rules (which fields to release, which fields to keep) are embedded in the ASN.1 itself so that they survive the ASN.1 compilation, i.e., that they remain visible in the resulting source code. This would allow UE- and network implementations to automate the handling of delta signalling and thereby remove </w:t>
      </w:r>
      <w:r w:rsidR="00AE69EE">
        <w:t>today’s</w:t>
      </w:r>
      <w:r w:rsidRPr="002775BB">
        <w:t xml:space="preserve"> ambiguity. Special attention should also be given to forward compatibility, i.e., to the case where the source gNB configured fields for a feature which the target node does not implement. Preferably, delta signalling should be specified such that the target gNB can still generate a delta configuration that is syntactically correct and by which the UE releases those features. </w:t>
      </w:r>
    </w:p>
    <w:p w14:paraId="41829F2B" w14:textId="7246941A" w:rsidR="0089629C" w:rsidRPr="002775BB" w:rsidRDefault="0089629C" w:rsidP="0089629C">
      <w:pPr>
        <w:pStyle w:val="Proposal"/>
      </w:pPr>
      <w:bookmarkStart w:id="17" w:name="_Toc208857421"/>
      <w:bookmarkStart w:id="18" w:name="_Toc209708230"/>
      <w:bookmarkStart w:id="19" w:name="_Toc210402857"/>
      <w:r>
        <w:t xml:space="preserve">6G’s delta signalling </w:t>
      </w:r>
      <w:r w:rsidR="00B307C7">
        <w:t>should</w:t>
      </w:r>
      <w:r>
        <w:t xml:space="preserve"> be specified in a machine-readable manner to avoid ambiguity and implementation errors. 6G’s delta signalling should support the inter-node reconfigurations with reasonable implementation complexity.</w:t>
      </w:r>
      <w:bookmarkEnd w:id="17"/>
      <w:bookmarkEnd w:id="18"/>
      <w:bookmarkEnd w:id="19"/>
      <w:r>
        <w:t xml:space="preserve"> </w:t>
      </w:r>
    </w:p>
    <w:p w14:paraId="4B2109F7" w14:textId="77777777" w:rsidR="0089629C" w:rsidRPr="001E5511" w:rsidRDefault="0089629C" w:rsidP="0089629C">
      <w:pPr>
        <w:pStyle w:val="Heading2"/>
      </w:pPr>
      <w:r>
        <w:t>2.3</w:t>
      </w:r>
      <w:r>
        <w:tab/>
        <w:t>A holistic view on control plane</w:t>
      </w:r>
    </w:p>
    <w:p w14:paraId="4D881E4C" w14:textId="77777777" w:rsidR="0089629C" w:rsidRDefault="0089629C" w:rsidP="0089629C">
      <w:pPr>
        <w:pStyle w:val="BodyText"/>
      </w:pPr>
      <w:r>
        <w:t xml:space="preserve">In 3GPP RAN2 the term </w:t>
      </w:r>
      <w:r>
        <w:rPr>
          <w:i/>
          <w:iCs/>
        </w:rPr>
        <w:t>c</w:t>
      </w:r>
      <w:r w:rsidRPr="002C4F93">
        <w:rPr>
          <w:i/>
          <w:iCs/>
        </w:rPr>
        <w:t xml:space="preserve">ontrol </w:t>
      </w:r>
      <w:r>
        <w:rPr>
          <w:i/>
          <w:iCs/>
        </w:rPr>
        <w:t>p</w:t>
      </w:r>
      <w:r w:rsidRPr="002C4F93">
        <w:rPr>
          <w:i/>
          <w:iCs/>
        </w:rPr>
        <w:t>lane</w:t>
      </w:r>
      <w:r>
        <w:t xml:space="preserve"> is typically associated with the RRC(Re)Configuration procedures and messages. But there are of course many more messages and procedures by which the RAN </w:t>
      </w:r>
      <w:r w:rsidRPr="00BF5CEF">
        <w:rPr>
          <w:i/>
          <w:iCs/>
        </w:rPr>
        <w:t>controls</w:t>
      </w:r>
      <w:r>
        <w:t xml:space="preserve"> the UE’s connection to the gNB. Control messages are defined also in the MAC specification (MAC CEs for UL reports and DL commands) and in the L1 specifications (DCI, UCI). </w:t>
      </w:r>
    </w:p>
    <w:p w14:paraId="79FF3414" w14:textId="77777777" w:rsidR="0089629C" w:rsidRDefault="0089629C" w:rsidP="0089629C">
      <w:pPr>
        <w:pStyle w:val="Observation"/>
      </w:pPr>
      <w:bookmarkStart w:id="20" w:name="_Toc208857416"/>
      <w:bookmarkStart w:id="21" w:name="_Toc209708219"/>
      <w:bookmarkStart w:id="22" w:name="_Toc210402865"/>
      <w:r>
        <w:t xml:space="preserve">The </w:t>
      </w:r>
      <w:proofErr w:type="spellStart"/>
      <w:r>
        <w:t>Uu</w:t>
      </w:r>
      <w:proofErr w:type="spellEnd"/>
      <w:r>
        <w:t xml:space="preserve"> interface’s control plane spans way beyond “RRC”. Control messages are also specified in MAC CEs and in L1’s Downlink- and Uplink Control Information (DCI/UCI).</w:t>
      </w:r>
      <w:bookmarkEnd w:id="20"/>
      <w:bookmarkEnd w:id="21"/>
      <w:bookmarkEnd w:id="22"/>
    </w:p>
    <w:p w14:paraId="4E7DE7BD" w14:textId="77777777" w:rsidR="0089629C" w:rsidRDefault="0089629C" w:rsidP="0089629C">
      <w:pPr>
        <w:pStyle w:val="BodyText"/>
      </w:pPr>
      <w:r>
        <w:t xml:space="preserve">3GPP intentionally defines functionality in protocol layers but many control procedures span anyway across several layers and depend on functionality described by multiple working groups in various specifications. In many cases this leads to a suboptimal and unnecessary complex design and in hard-to-read specifications. For example, NR’s connection setup procedure begins with a set of rules defined in 38.331 followed by the transmission of a RA preamble defined in a RAN1 specification according to a procedure captured in the MAC specification. MAC defines the format of the </w:t>
      </w:r>
      <w:proofErr w:type="gramStart"/>
      <w:r>
        <w:t>Random Access</w:t>
      </w:r>
      <w:proofErr w:type="gramEnd"/>
      <w:r>
        <w:t xml:space="preserve"> Response message while the meaning of its “UL Grant” field is defined in L1 specs. The payload of Msg3 (sent on PUSCH) is either defined in the RRC specification (in case of CCCH) or in the MAC spec or in combinations of both. Even within one specification related information is often spread into different sections which, besides being hard to consume, causes both duplication and lack of information. </w:t>
      </w:r>
    </w:p>
    <w:p w14:paraId="4F301CE5" w14:textId="77777777" w:rsidR="0089629C" w:rsidRDefault="0089629C" w:rsidP="0089629C">
      <w:pPr>
        <w:pStyle w:val="Observation"/>
      </w:pPr>
      <w:bookmarkStart w:id="23" w:name="_Toc208857417"/>
      <w:bookmarkStart w:id="24" w:name="_Toc209708220"/>
      <w:bookmarkStart w:id="25" w:name="_Toc210402866"/>
      <w:r>
        <w:t>In LTE and NR many procedures span across many protocol layers and involve messages described in various specifications. This makes specifications difficult to maintain and use.</w:t>
      </w:r>
      <w:bookmarkEnd w:id="23"/>
      <w:bookmarkEnd w:id="24"/>
      <w:bookmarkEnd w:id="25"/>
    </w:p>
    <w:p w14:paraId="03D151DD" w14:textId="3400C7D1" w:rsidR="0089629C" w:rsidRDefault="0089629C" w:rsidP="0089629C">
      <w:pPr>
        <w:pStyle w:val="BodyText"/>
      </w:pPr>
      <w:r>
        <w:t xml:space="preserve">We propose to aim for a more holistic view when analysing shortcomings of previous generations and when developing concepts for 6G. Working groups should develop control plane procedures and messages jointly to avoid duplicate and competing solutions. </w:t>
      </w:r>
    </w:p>
    <w:p w14:paraId="103E4881" w14:textId="4DF8AC7F" w:rsidR="0089629C" w:rsidRDefault="0089629C" w:rsidP="0089629C">
      <w:pPr>
        <w:pStyle w:val="Proposal"/>
      </w:pPr>
      <w:bookmarkStart w:id="26" w:name="_Toc208857422"/>
      <w:bookmarkStart w:id="27" w:name="_Toc209708231"/>
      <w:bookmarkStart w:id="28" w:name="_Toc210402858"/>
      <w:r>
        <w:t xml:space="preserve">Maintain a </w:t>
      </w:r>
      <w:r w:rsidRPr="00C33384">
        <w:t xml:space="preserve">holistic view </w:t>
      </w:r>
      <w:r>
        <w:t xml:space="preserve">of the control plane messages </w:t>
      </w:r>
      <w:r w:rsidRPr="00C33384">
        <w:t>when analysing shortcomings of previous generations and when developing concepts for 6G</w:t>
      </w:r>
      <w:r>
        <w:t>. Don’t think in “RAN2-UP”, “RAN2-CP”, “RAN1 MIMO”, … boxes.</w:t>
      </w:r>
      <w:bookmarkEnd w:id="26"/>
      <w:bookmarkEnd w:id="27"/>
      <w:bookmarkEnd w:id="28"/>
      <w:r>
        <w:t xml:space="preserve"> </w:t>
      </w:r>
    </w:p>
    <w:p w14:paraId="40703FB3" w14:textId="77777777" w:rsidR="0089629C" w:rsidRDefault="0089629C" w:rsidP="0089629C">
      <w:pPr>
        <w:pStyle w:val="Heading2"/>
      </w:pPr>
      <w:r>
        <w:lastRenderedPageBreak/>
        <w:t>2.4</w:t>
      </w:r>
      <w:r>
        <w:tab/>
        <w:t>Ownership</w:t>
      </w:r>
    </w:p>
    <w:p w14:paraId="2D4890C4" w14:textId="1C148536" w:rsidR="0089629C" w:rsidRDefault="0089629C" w:rsidP="0089629C">
      <w:pPr>
        <w:pStyle w:val="BodyText"/>
      </w:pPr>
      <w:r>
        <w:t xml:space="preserve">RAN2 claims ownership of the RRC specifications and the ASN.1 message structures therein. And with no doubt it would be important that a group of experts develops and maintains a message structure and generic functionality for the </w:t>
      </w:r>
      <w:proofErr w:type="spellStart"/>
      <w:r w:rsidR="0089405B">
        <w:t>Uu</w:t>
      </w:r>
      <w:proofErr w:type="spellEnd"/>
      <w:r w:rsidR="0089405B">
        <w:t xml:space="preserve"> </w:t>
      </w:r>
      <w:r>
        <w:t xml:space="preserve">configuration- and capability signalling. </w:t>
      </w:r>
    </w:p>
    <w:p w14:paraId="53E687C4" w14:textId="1AF7AE44" w:rsidR="0089629C" w:rsidRDefault="0089629C" w:rsidP="0089629C">
      <w:pPr>
        <w:pStyle w:val="BodyText"/>
      </w:pPr>
      <w:r>
        <w:t xml:space="preserve">However, according to the current work-split between RAN1, RAN4 and RAN2 it is rather so that RAN1 defines configuration parameters for new physical layer features in lengthy but incomplete and poorly documented </w:t>
      </w:r>
      <w:r w:rsidR="0040442A">
        <w:t xml:space="preserve">Excel </w:t>
      </w:r>
      <w:r>
        <w:t xml:space="preserve">tables. RAN2 tries to translate them into an ASN.1 </w:t>
      </w:r>
      <w:r w:rsidR="0040442A">
        <w:t xml:space="preserve">syntax, </w:t>
      </w:r>
      <w:r>
        <w:t xml:space="preserve">which is </w:t>
      </w:r>
      <w:r w:rsidR="00CC5158">
        <w:t>challenging</w:t>
      </w:r>
      <w:r>
        <w:t xml:space="preserve"> given the lack of information and the (surprising) unwillingness of many companies to analyse and improve the structure from a signalling perspective. RAN2 attempts to describe the meaning of the configuration parameters in field descriptions – sometimes assisted by clarifications from RAN1. However, in many cases RAN1 amends, overrides or restricts in their own specifications what the description in the RRC specification seems to say. This work-split is certainly cumbersome for RAN2</w:t>
      </w:r>
      <w:r w:rsidR="0053689D">
        <w:t>,</w:t>
      </w:r>
      <w:r>
        <w:t xml:space="preserve"> but the real problem is that it makes some of RAN1 specifications extremely hard to read and more ambiguous with every subsequent addition. </w:t>
      </w:r>
    </w:p>
    <w:p w14:paraId="4DF35EDE" w14:textId="77777777" w:rsidR="0089629C" w:rsidRDefault="0089629C" w:rsidP="0089629C">
      <w:pPr>
        <w:pStyle w:val="BodyText"/>
      </w:pPr>
      <w:r>
        <w:t xml:space="preserve">The same problem arises for UE capabilities which RAN1 defines and for which RAN2 captures the ASN.1 signalling and the descriptions in two different specifications.  </w:t>
      </w:r>
    </w:p>
    <w:p w14:paraId="0C8B3D5F" w14:textId="2796E62F" w:rsidR="0089629C" w:rsidRDefault="0089629C" w:rsidP="0089629C">
      <w:pPr>
        <w:pStyle w:val="Observation"/>
      </w:pPr>
      <w:bookmarkStart w:id="29" w:name="_Toc208857418"/>
      <w:bookmarkStart w:id="30" w:name="_Toc209708221"/>
      <w:bookmarkStart w:id="31" w:name="_Toc210402867"/>
      <w:r>
        <w:t xml:space="preserve">The current work-split between RAN1, RAN2 and RAN4 and the way how control messages are specified increases the </w:t>
      </w:r>
      <w:r w:rsidR="00E70387">
        <w:t>workload</w:t>
      </w:r>
      <w:r w:rsidR="00424A7E">
        <w:t xml:space="preserve"> and</w:t>
      </w:r>
      <w:r>
        <w:t xml:space="preserve"> results in ambiguous specifications with inefficient signalling structures.</w:t>
      </w:r>
      <w:bookmarkEnd w:id="29"/>
      <w:bookmarkEnd w:id="30"/>
      <w:bookmarkEnd w:id="31"/>
      <w:r>
        <w:t xml:space="preserve"> </w:t>
      </w:r>
    </w:p>
    <w:p w14:paraId="54BE2D5E" w14:textId="5E3AF76F" w:rsidR="0089629C" w:rsidRDefault="0089629C" w:rsidP="0089629C">
      <w:pPr>
        <w:pStyle w:val="BodyText"/>
      </w:pPr>
      <w:r>
        <w:t xml:space="preserve">For 6G RAN2 should discuss whether there are better ways to capture configuration- and capability signalling with less time-consuming and error-prone inter-(working-)group communication. For example, we could envision that RAN2’s control plane experts </w:t>
      </w:r>
      <w:r w:rsidR="005448DD">
        <w:t>develop</w:t>
      </w:r>
      <w:r>
        <w:t xml:space="preserve"> and maintain the overall signalling structure including top-level messages and tools such as delta signalling, full configuration, critical- vs. non-critical extensions. Feature experts working with e.g. L2’s user plane, L1’s PDSCH or CSI-RS </w:t>
      </w:r>
      <w:r w:rsidR="00FC649A">
        <w:t xml:space="preserve">should more actively be involved </w:t>
      </w:r>
      <w:r w:rsidR="00C35468">
        <w:t xml:space="preserve">in creating </w:t>
      </w:r>
      <w:r w:rsidR="00773B42">
        <w:t xml:space="preserve">and maintaining </w:t>
      </w:r>
      <w:r>
        <w:t>the low-level IEs (e.g. RLC-Config, PDSCH-Config, …) that are used to configure “their” functionality</w:t>
      </w:r>
      <w:r w:rsidR="00BA65AD">
        <w:t>, i.e. value ranges, default values, configuration restrictions</w:t>
      </w:r>
      <w:r>
        <w:t xml:space="preserve">. </w:t>
      </w:r>
      <w:r w:rsidR="00B9307E">
        <w:t xml:space="preserve">For example, already today we are capturing </w:t>
      </w:r>
      <w:r w:rsidR="007577D2">
        <w:t xml:space="preserve">in </w:t>
      </w:r>
      <w:r w:rsidR="00C32154">
        <w:t xml:space="preserve">the BSR-section the relevant </w:t>
      </w:r>
      <w:r w:rsidR="00F55A81">
        <w:t xml:space="preserve">fields for </w:t>
      </w:r>
      <w:r w:rsidR="00E8610A">
        <w:t xml:space="preserve">the </w:t>
      </w:r>
      <w:r w:rsidR="00F55A81">
        <w:t>BSR</w:t>
      </w:r>
      <w:r w:rsidR="00E8610A">
        <w:t>-procedure</w:t>
      </w:r>
      <w:r w:rsidR="0050799F">
        <w:t xml:space="preserve">, however this is not the case for all specifications and for all </w:t>
      </w:r>
      <w:r w:rsidR="00B71425">
        <w:t>functionality</w:t>
      </w:r>
      <w:r w:rsidR="0034065E">
        <w:t>,</w:t>
      </w:r>
      <w:r w:rsidR="00B71425">
        <w:t xml:space="preserve"> but </w:t>
      </w:r>
      <w:r w:rsidR="00A7467A">
        <w:t>if we</w:t>
      </w:r>
      <w:r w:rsidR="00200D91">
        <w:t xml:space="preserve"> </w:t>
      </w:r>
      <w:r w:rsidR="00533825">
        <w:t xml:space="preserve">would </w:t>
      </w:r>
      <w:r w:rsidR="00200D91">
        <w:t xml:space="preserve">consistently </w:t>
      </w:r>
      <w:r w:rsidR="00F5300F">
        <w:t xml:space="preserve">describe </w:t>
      </w:r>
      <w:r w:rsidR="002C3E66">
        <w:t xml:space="preserve">applicable </w:t>
      </w:r>
      <w:r w:rsidR="00C36521">
        <w:t>fields</w:t>
      </w:r>
      <w:r w:rsidR="002C3E66">
        <w:t>,</w:t>
      </w:r>
      <w:r w:rsidR="003154E4">
        <w:t xml:space="preserve"> </w:t>
      </w:r>
      <w:r w:rsidR="002C3E66">
        <w:t xml:space="preserve">their relation, etc., in the </w:t>
      </w:r>
      <w:r w:rsidR="003154E4">
        <w:t xml:space="preserve">section </w:t>
      </w:r>
      <w:r w:rsidR="002C3E66">
        <w:t xml:space="preserve">for the relevant functionality, we </w:t>
      </w:r>
      <w:r w:rsidR="001412F6">
        <w:t xml:space="preserve">would likely </w:t>
      </w:r>
      <w:r w:rsidR="002C3E66">
        <w:t xml:space="preserve">get </w:t>
      </w:r>
      <w:r w:rsidR="00533825">
        <w:t xml:space="preserve">a specification which is </w:t>
      </w:r>
      <w:r w:rsidR="00313AF7">
        <w:t xml:space="preserve">easier to </w:t>
      </w:r>
      <w:r w:rsidR="00234503">
        <w:t>read and understand</w:t>
      </w:r>
      <w:r w:rsidR="006E53B3">
        <w:t xml:space="preserve"> since </w:t>
      </w:r>
      <w:r w:rsidR="0034065E">
        <w:t>the sections would be more self-contained.</w:t>
      </w:r>
      <w:r>
        <w:t xml:space="preserve"> </w:t>
      </w:r>
    </w:p>
    <w:p w14:paraId="1EDF5068" w14:textId="7D0BCDEA" w:rsidR="0089629C" w:rsidRDefault="0089629C" w:rsidP="0089629C">
      <w:pPr>
        <w:pStyle w:val="BodyText"/>
      </w:pPr>
      <w:r>
        <w:t xml:space="preserve">This would hopefully leave more time for RAN2 to maintain the overall structure and avoid that the specification becomes convoluted and unusable after a few releases. Of course, RAN2 should also review the signalling contributed by other groups and request necessary alignment to established signalling principles. </w:t>
      </w:r>
    </w:p>
    <w:p w14:paraId="781C76C7" w14:textId="77777777" w:rsidR="0089629C" w:rsidRPr="002A0356" w:rsidRDefault="0089629C" w:rsidP="0089629C">
      <w:pPr>
        <w:pStyle w:val="Proposal"/>
      </w:pPr>
      <w:bookmarkStart w:id="32" w:name="_Toc208857423"/>
      <w:bookmarkStart w:id="33" w:name="_Toc209708232"/>
      <w:bookmarkStart w:id="34" w:name="_Toc210402859"/>
      <w:r>
        <w:t>Improve the work split between the RAN2 control plane experts and other (sub-)working groups with respect to creation and maintenance of configuration- and capability messages.</w:t>
      </w:r>
      <w:bookmarkEnd w:id="32"/>
      <w:bookmarkEnd w:id="33"/>
      <w:bookmarkEnd w:id="34"/>
    </w:p>
    <w:p w14:paraId="3DDC391F" w14:textId="77777777" w:rsidR="00AB506A" w:rsidRPr="00AB506A" w:rsidRDefault="00AB506A" w:rsidP="00AB506A">
      <w:pPr>
        <w:rPr>
          <w:lang w:eastAsia="zh-CN"/>
        </w:rPr>
      </w:pPr>
    </w:p>
    <w:p w14:paraId="2C02125F" w14:textId="287227E3" w:rsidR="00C01F33" w:rsidRPr="00CE0424" w:rsidRDefault="003C1669" w:rsidP="00CE0424">
      <w:pPr>
        <w:pStyle w:val="Heading1"/>
      </w:pPr>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515243D4" w14:textId="77777777" w:rsidR="001F4D03" w:rsidRDefault="00EC60CC">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0402860" w:history="1">
        <w:r w:rsidR="001F4D03" w:rsidRPr="005A106F">
          <w:rPr>
            <w:rStyle w:val="Hyperlink"/>
            <w:noProof/>
          </w:rPr>
          <w:t>Observation 1</w:t>
        </w:r>
        <w:r w:rsidR="001F4D03">
          <w:rPr>
            <w:rFonts w:asciiTheme="minorHAnsi" w:eastAsiaTheme="minorEastAsia" w:hAnsiTheme="minorHAnsi" w:cstheme="minorBidi"/>
            <w:b w:val="0"/>
            <w:noProof/>
            <w:kern w:val="2"/>
            <w:sz w:val="24"/>
            <w:szCs w:val="24"/>
            <w:lang w:val="en-SG" w:eastAsia="en-SG"/>
            <w14:ligatures w14:val="standardContextual"/>
          </w:rPr>
          <w:tab/>
        </w:r>
        <w:r w:rsidR="001F4D03" w:rsidRPr="005A106F">
          <w:rPr>
            <w:rStyle w:val="Hyperlink"/>
            <w:noProof/>
          </w:rPr>
          <w:t>Hierarchically structured configuration messages hinder the introduction of new functionality and thereby drive complexity and development costs.</w:t>
        </w:r>
      </w:hyperlink>
    </w:p>
    <w:p w14:paraId="5C00F3C1" w14:textId="77777777" w:rsidR="001F4D03" w:rsidRDefault="001F4D03">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2861" w:history="1">
        <w:r w:rsidRPr="005A106F">
          <w:rPr>
            <w:rStyle w:val="Hyperlink"/>
            <w:noProof/>
          </w:rPr>
          <w:t>Observation 2</w:t>
        </w:r>
        <w:r>
          <w:rPr>
            <w:rFonts w:asciiTheme="minorHAnsi" w:eastAsiaTheme="minorEastAsia" w:hAnsiTheme="minorHAnsi" w:cstheme="minorBidi"/>
            <w:b w:val="0"/>
            <w:noProof/>
            <w:kern w:val="2"/>
            <w:sz w:val="24"/>
            <w:szCs w:val="24"/>
            <w:lang w:val="en-SG" w:eastAsia="en-SG"/>
            <w14:ligatures w14:val="standardContextual"/>
          </w:rPr>
          <w:tab/>
        </w:r>
        <w:r w:rsidRPr="005A106F">
          <w:rPr>
            <w:rStyle w:val="Hyperlink"/>
            <w:noProof/>
          </w:rPr>
          <w:t>Continued non-critical extensions of large IEs tend to make it ambiguous which combination of parameters and values is valid</w:t>
        </w:r>
      </w:hyperlink>
    </w:p>
    <w:p w14:paraId="2B9427DA" w14:textId="77777777" w:rsidR="001F4D03" w:rsidRDefault="001F4D03">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2862" w:history="1">
        <w:r w:rsidRPr="005A106F">
          <w:rPr>
            <w:rStyle w:val="Hyperlink"/>
            <w:noProof/>
          </w:rPr>
          <w:t>Observation 3</w:t>
        </w:r>
        <w:r>
          <w:rPr>
            <w:rFonts w:asciiTheme="minorHAnsi" w:eastAsiaTheme="minorEastAsia" w:hAnsiTheme="minorHAnsi" w:cstheme="minorBidi"/>
            <w:b w:val="0"/>
            <w:noProof/>
            <w:kern w:val="2"/>
            <w:sz w:val="24"/>
            <w:szCs w:val="24"/>
            <w:lang w:val="en-SG" w:eastAsia="en-SG"/>
            <w14:ligatures w14:val="standardContextual"/>
          </w:rPr>
          <w:tab/>
        </w:r>
        <w:r w:rsidRPr="005A106F">
          <w:rPr>
            <w:rStyle w:val="Hyperlink"/>
            <w:noProof/>
          </w:rPr>
          <w:t>LTE’s and NR’s ASN.1 delta signalling cannot be automated since rules are captured in need codes, field descriptions, condition tables and procedural text.</w:t>
        </w:r>
      </w:hyperlink>
    </w:p>
    <w:p w14:paraId="6DC9AFE2" w14:textId="77777777" w:rsidR="001F4D03" w:rsidRDefault="001F4D03">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2863" w:history="1">
        <w:r w:rsidRPr="005A106F">
          <w:rPr>
            <w:rStyle w:val="Hyperlink"/>
            <w:noProof/>
          </w:rPr>
          <w:t>Observation 4</w:t>
        </w:r>
        <w:r>
          <w:rPr>
            <w:rFonts w:asciiTheme="minorHAnsi" w:eastAsiaTheme="minorEastAsia" w:hAnsiTheme="minorHAnsi" w:cstheme="minorBidi"/>
            <w:b w:val="0"/>
            <w:noProof/>
            <w:kern w:val="2"/>
            <w:sz w:val="24"/>
            <w:szCs w:val="24"/>
            <w:lang w:val="en-SG" w:eastAsia="en-SG"/>
            <w14:ligatures w14:val="standardContextual"/>
          </w:rPr>
          <w:tab/>
        </w:r>
        <w:r w:rsidRPr="005A106F">
          <w:rPr>
            <w:rStyle w:val="Hyperlink"/>
            <w:noProof/>
          </w:rPr>
          <w:t>NR’s delta signalling isn’t feasible for inter-node reconfigurations since the target node would need to support releasing features which it does not support itself.</w:t>
        </w:r>
      </w:hyperlink>
    </w:p>
    <w:p w14:paraId="6D6D5B33" w14:textId="77777777" w:rsidR="001F4D03" w:rsidRDefault="001F4D03">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2864" w:history="1">
        <w:r w:rsidRPr="005A106F">
          <w:rPr>
            <w:rStyle w:val="Hyperlink"/>
            <w:noProof/>
          </w:rPr>
          <w:t>Observation 5</w:t>
        </w:r>
        <w:r>
          <w:rPr>
            <w:rFonts w:asciiTheme="minorHAnsi" w:eastAsiaTheme="minorEastAsia" w:hAnsiTheme="minorHAnsi" w:cstheme="minorBidi"/>
            <w:b w:val="0"/>
            <w:noProof/>
            <w:kern w:val="2"/>
            <w:sz w:val="24"/>
            <w:szCs w:val="24"/>
            <w:lang w:val="en-SG" w:eastAsia="en-SG"/>
            <w14:ligatures w14:val="standardContextual"/>
          </w:rPr>
          <w:tab/>
        </w:r>
        <w:r w:rsidRPr="005A106F">
          <w:rPr>
            <w:rStyle w:val="Hyperlink"/>
            <w:noProof/>
          </w:rPr>
          <w:t>NR’s way of supporting delta signalling by means of need-codes is error-prone and results in error cases in live networks despite extensive IODT.</w:t>
        </w:r>
      </w:hyperlink>
    </w:p>
    <w:p w14:paraId="17509529" w14:textId="77777777" w:rsidR="001F4D03" w:rsidRDefault="001F4D03">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2865" w:history="1">
        <w:r w:rsidRPr="005A106F">
          <w:rPr>
            <w:rStyle w:val="Hyperlink"/>
            <w:noProof/>
          </w:rPr>
          <w:t>Observation 6</w:t>
        </w:r>
        <w:r>
          <w:rPr>
            <w:rFonts w:asciiTheme="minorHAnsi" w:eastAsiaTheme="minorEastAsia" w:hAnsiTheme="minorHAnsi" w:cstheme="minorBidi"/>
            <w:b w:val="0"/>
            <w:noProof/>
            <w:kern w:val="2"/>
            <w:sz w:val="24"/>
            <w:szCs w:val="24"/>
            <w:lang w:val="en-SG" w:eastAsia="en-SG"/>
            <w14:ligatures w14:val="standardContextual"/>
          </w:rPr>
          <w:tab/>
        </w:r>
        <w:r w:rsidRPr="005A106F">
          <w:rPr>
            <w:rStyle w:val="Hyperlink"/>
            <w:noProof/>
          </w:rPr>
          <w:t>The Uu interface’s control plane spans way beyond “RRC”. Control messages are also specified in MAC CEs and in L1’s Downlink- and Uplink Control Information (DCI/UCI).</w:t>
        </w:r>
      </w:hyperlink>
    </w:p>
    <w:p w14:paraId="09771373" w14:textId="77777777" w:rsidR="001F4D03" w:rsidRDefault="001F4D03">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2866" w:history="1">
        <w:r w:rsidRPr="005A106F">
          <w:rPr>
            <w:rStyle w:val="Hyperlink"/>
            <w:noProof/>
          </w:rPr>
          <w:t>Observation 7</w:t>
        </w:r>
        <w:r>
          <w:rPr>
            <w:rFonts w:asciiTheme="minorHAnsi" w:eastAsiaTheme="minorEastAsia" w:hAnsiTheme="minorHAnsi" w:cstheme="minorBidi"/>
            <w:b w:val="0"/>
            <w:noProof/>
            <w:kern w:val="2"/>
            <w:sz w:val="24"/>
            <w:szCs w:val="24"/>
            <w:lang w:val="en-SG" w:eastAsia="en-SG"/>
            <w14:ligatures w14:val="standardContextual"/>
          </w:rPr>
          <w:tab/>
        </w:r>
        <w:r w:rsidRPr="005A106F">
          <w:rPr>
            <w:rStyle w:val="Hyperlink"/>
            <w:noProof/>
          </w:rPr>
          <w:t>In LTE and NR many procedures span across many protocol layers and involve messages described in various specifications. This makes specifications difficult to maintain and use.</w:t>
        </w:r>
      </w:hyperlink>
    </w:p>
    <w:p w14:paraId="3831D62E" w14:textId="77777777" w:rsidR="001F4D03" w:rsidRDefault="001F4D03">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2867" w:history="1">
        <w:r w:rsidRPr="005A106F">
          <w:rPr>
            <w:rStyle w:val="Hyperlink"/>
            <w:noProof/>
          </w:rPr>
          <w:t>Observation 8</w:t>
        </w:r>
        <w:r>
          <w:rPr>
            <w:rFonts w:asciiTheme="minorHAnsi" w:eastAsiaTheme="minorEastAsia" w:hAnsiTheme="minorHAnsi" w:cstheme="minorBidi"/>
            <w:b w:val="0"/>
            <w:noProof/>
            <w:kern w:val="2"/>
            <w:sz w:val="24"/>
            <w:szCs w:val="24"/>
            <w:lang w:val="en-SG" w:eastAsia="en-SG"/>
            <w14:ligatures w14:val="standardContextual"/>
          </w:rPr>
          <w:tab/>
        </w:r>
        <w:r w:rsidRPr="005A106F">
          <w:rPr>
            <w:rStyle w:val="Hyperlink"/>
            <w:noProof/>
          </w:rPr>
          <w:t>The current work-split between RAN1, RAN2 and RAN4 and the way how control messages are specified increases the workload and results in ambiguous specifications with inefficient signalling structures.</w:t>
        </w:r>
      </w:hyperlink>
    </w:p>
    <w:p w14:paraId="2354DA7B" w14:textId="6AF26D6A" w:rsidR="004615B3" w:rsidRDefault="00EC60CC" w:rsidP="00EC60CC">
      <w:pPr>
        <w:rPr>
          <w:rFonts w:ascii="Arial" w:hAnsi="Arial" w:cs="Arial"/>
          <w:lang w:eastAsia="zh-CN"/>
        </w:rPr>
      </w:pPr>
      <w:r>
        <w:rPr>
          <w:b/>
          <w:bCs/>
        </w:rPr>
        <w:fldChar w:fldCharType="end"/>
      </w:r>
    </w:p>
    <w:p w14:paraId="753E8F73" w14:textId="3E98FD90" w:rsidR="00B9173F" w:rsidRDefault="00B9173F" w:rsidP="0081726D">
      <w:pPr>
        <w:rPr>
          <w:rFonts w:ascii="Arial" w:hAnsi="Arial" w:cs="Arial"/>
          <w:lang w:eastAsia="zh-CN"/>
        </w:rPr>
      </w:pPr>
      <w:r>
        <w:rPr>
          <w:rFonts w:ascii="Arial" w:hAnsi="Arial" w:cs="Arial"/>
          <w:lang w:eastAsia="zh-CN"/>
        </w:rPr>
        <w:t>We propose</w:t>
      </w:r>
      <w:r w:rsidR="006F1F8E">
        <w:rPr>
          <w:rFonts w:ascii="Arial" w:hAnsi="Arial" w:cs="Arial"/>
          <w:lang w:eastAsia="zh-CN"/>
        </w:rPr>
        <w:t>:</w:t>
      </w:r>
    </w:p>
    <w:p w14:paraId="3BEAFBA1" w14:textId="77777777" w:rsidR="001F4D03" w:rsidRDefault="00B9173F">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10402856" w:history="1">
        <w:r w:rsidR="001F4D03" w:rsidRPr="007B05D8">
          <w:rPr>
            <w:rStyle w:val="Hyperlink"/>
            <w:noProof/>
          </w:rPr>
          <w:t>Proposal 1</w:t>
        </w:r>
        <w:r w:rsidR="001F4D03">
          <w:rPr>
            <w:rFonts w:asciiTheme="minorHAnsi" w:eastAsiaTheme="minorEastAsia" w:hAnsiTheme="minorHAnsi" w:cstheme="minorBidi"/>
            <w:b w:val="0"/>
            <w:noProof/>
            <w:kern w:val="2"/>
            <w:sz w:val="24"/>
            <w:szCs w:val="24"/>
            <w:lang w:val="en-SG" w:eastAsia="en-SG"/>
            <w14:ligatures w14:val="standardContextual"/>
          </w:rPr>
          <w:tab/>
        </w:r>
        <w:r w:rsidR="001F4D03" w:rsidRPr="007B05D8">
          <w:rPr>
            <w:rStyle w:val="Hyperlink"/>
            <w:noProof/>
          </w:rPr>
          <w:t>6G’s configuration message structure should be convenient to use in products and easy to extend in later releases.</w:t>
        </w:r>
      </w:hyperlink>
    </w:p>
    <w:p w14:paraId="40C41CF4" w14:textId="77777777" w:rsidR="001F4D03" w:rsidRDefault="001F4D03">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2857" w:history="1">
        <w:r w:rsidRPr="007B05D8">
          <w:rPr>
            <w:rStyle w:val="Hyperlink"/>
            <w:noProof/>
          </w:rPr>
          <w:t>Proposal 2</w:t>
        </w:r>
        <w:r>
          <w:rPr>
            <w:rFonts w:asciiTheme="minorHAnsi" w:eastAsiaTheme="minorEastAsia" w:hAnsiTheme="minorHAnsi" w:cstheme="minorBidi"/>
            <w:b w:val="0"/>
            <w:noProof/>
            <w:kern w:val="2"/>
            <w:sz w:val="24"/>
            <w:szCs w:val="24"/>
            <w:lang w:val="en-SG" w:eastAsia="en-SG"/>
            <w14:ligatures w14:val="standardContextual"/>
          </w:rPr>
          <w:tab/>
        </w:r>
        <w:r w:rsidRPr="007B05D8">
          <w:rPr>
            <w:rStyle w:val="Hyperlink"/>
            <w:noProof/>
          </w:rPr>
          <w:t>6G’s delta signalling should be specified in a machine-readable manner to avoid ambiguity and implementation errors. 6G’s delta signalling should support the inter-node reconfigurations with reasonable implementation complexity.</w:t>
        </w:r>
      </w:hyperlink>
    </w:p>
    <w:p w14:paraId="3E97A684" w14:textId="77777777" w:rsidR="001F4D03" w:rsidRDefault="001F4D03">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2858" w:history="1">
        <w:r w:rsidRPr="007B05D8">
          <w:rPr>
            <w:rStyle w:val="Hyperlink"/>
            <w:noProof/>
          </w:rPr>
          <w:t>Proposal 3</w:t>
        </w:r>
        <w:r>
          <w:rPr>
            <w:rFonts w:asciiTheme="minorHAnsi" w:eastAsiaTheme="minorEastAsia" w:hAnsiTheme="minorHAnsi" w:cstheme="minorBidi"/>
            <w:b w:val="0"/>
            <w:noProof/>
            <w:kern w:val="2"/>
            <w:sz w:val="24"/>
            <w:szCs w:val="24"/>
            <w:lang w:val="en-SG" w:eastAsia="en-SG"/>
            <w14:ligatures w14:val="standardContextual"/>
          </w:rPr>
          <w:tab/>
        </w:r>
        <w:r w:rsidRPr="007B05D8">
          <w:rPr>
            <w:rStyle w:val="Hyperlink"/>
            <w:noProof/>
          </w:rPr>
          <w:t>Maintain a holistic view of the control plane messages when analysing shortcomings of previous generations and when developing concepts for 6G. Don’t think in “RAN2-UP”, “RAN2-CP”, “RAN1 MIMO”, … boxes.</w:t>
        </w:r>
      </w:hyperlink>
    </w:p>
    <w:p w14:paraId="5ADBE2AE" w14:textId="77777777" w:rsidR="001F4D03" w:rsidRDefault="001F4D03">
      <w:pPr>
        <w:pStyle w:val="TableofFigures"/>
        <w:tabs>
          <w:tab w:val="right" w:leader="dot" w:pos="9629"/>
        </w:tabs>
        <w:rPr>
          <w:rFonts w:asciiTheme="minorHAnsi" w:eastAsiaTheme="minorEastAsia" w:hAnsiTheme="minorHAnsi" w:cstheme="minorBidi"/>
          <w:b w:val="0"/>
          <w:noProof/>
          <w:kern w:val="2"/>
          <w:sz w:val="24"/>
          <w:szCs w:val="24"/>
          <w:lang w:val="en-SG" w:eastAsia="en-SG"/>
          <w14:ligatures w14:val="standardContextual"/>
        </w:rPr>
      </w:pPr>
      <w:hyperlink w:anchor="_Toc210402859" w:history="1">
        <w:r w:rsidRPr="007B05D8">
          <w:rPr>
            <w:rStyle w:val="Hyperlink"/>
            <w:noProof/>
          </w:rPr>
          <w:t>Proposal 4</w:t>
        </w:r>
        <w:r>
          <w:rPr>
            <w:rFonts w:asciiTheme="minorHAnsi" w:eastAsiaTheme="minorEastAsia" w:hAnsiTheme="minorHAnsi" w:cstheme="minorBidi"/>
            <w:b w:val="0"/>
            <w:noProof/>
            <w:kern w:val="2"/>
            <w:sz w:val="24"/>
            <w:szCs w:val="24"/>
            <w:lang w:val="en-SG" w:eastAsia="en-SG"/>
            <w14:ligatures w14:val="standardContextual"/>
          </w:rPr>
          <w:tab/>
        </w:r>
        <w:r w:rsidRPr="007B05D8">
          <w:rPr>
            <w:rStyle w:val="Hyperlink"/>
            <w:noProof/>
          </w:rPr>
          <w:t>Improve the work split between the RAN2 control plane experts and other (sub-)working groups with respect to creation and maintenance of configuration- and capability messages.</w:t>
        </w:r>
      </w:hyperlink>
    </w:p>
    <w:p w14:paraId="14A0A7FD" w14:textId="4094070D" w:rsidR="00B9173F" w:rsidRDefault="00B9173F" w:rsidP="00B9173F">
      <w:pPr>
        <w:rPr>
          <w:rFonts w:ascii="Arial" w:hAnsi="Arial" w:cs="Arial"/>
          <w:lang w:eastAsia="zh-CN"/>
        </w:rPr>
      </w:pPr>
      <w:r w:rsidRPr="002B5619">
        <w:rPr>
          <w:lang w:val="en-US"/>
        </w:rPr>
        <w:fldChar w:fldCharType="end"/>
      </w:r>
    </w:p>
    <w:sectPr w:rsidR="00B9173F" w:rsidSect="00DE1A1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B6E15" w14:textId="77777777" w:rsidR="008B7031" w:rsidRDefault="008B7031">
      <w:r>
        <w:separator/>
      </w:r>
    </w:p>
  </w:endnote>
  <w:endnote w:type="continuationSeparator" w:id="0">
    <w:p w14:paraId="2E31C3CF" w14:textId="77777777" w:rsidR="008B7031" w:rsidRDefault="008B7031">
      <w:r>
        <w:continuationSeparator/>
      </w:r>
    </w:p>
  </w:endnote>
  <w:endnote w:type="continuationNotice" w:id="1">
    <w:p w14:paraId="790812FF" w14:textId="77777777" w:rsidR="008B7031" w:rsidRDefault="008B7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5C3DF" w14:textId="77777777" w:rsidR="00936F28" w:rsidRDefault="00936F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04CF6" w14:textId="77777777" w:rsidR="00936F28" w:rsidRDefault="00936F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9CAA" w14:textId="77777777" w:rsidR="00936F28" w:rsidRDefault="00936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97B60" w14:textId="77777777" w:rsidR="008B7031" w:rsidRDefault="008B7031">
      <w:r>
        <w:separator/>
      </w:r>
    </w:p>
  </w:footnote>
  <w:footnote w:type="continuationSeparator" w:id="0">
    <w:p w14:paraId="070D07F2" w14:textId="77777777" w:rsidR="008B7031" w:rsidRDefault="008B7031">
      <w:r>
        <w:continuationSeparator/>
      </w:r>
    </w:p>
  </w:footnote>
  <w:footnote w:type="continuationNotice" w:id="1">
    <w:p w14:paraId="23172F6E" w14:textId="77777777" w:rsidR="008B7031" w:rsidRDefault="008B70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18A9" w14:textId="77777777" w:rsidR="00936F28" w:rsidRDefault="00936F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3CA80" w14:textId="77777777" w:rsidR="00936F28" w:rsidRDefault="00936F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7D731" w14:textId="77777777" w:rsidR="00936F28" w:rsidRDefault="00936F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E0571A"/>
    <w:multiLevelType w:val="hybridMultilevel"/>
    <w:tmpl w:val="807805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96070B"/>
    <w:multiLevelType w:val="hybridMultilevel"/>
    <w:tmpl w:val="BBCC2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9"/>
  </w:num>
  <w:num w:numId="2" w16cid:durableId="1956012674">
    <w:abstractNumId w:val="6"/>
  </w:num>
  <w:num w:numId="3" w16cid:durableId="1847859975">
    <w:abstractNumId w:val="0"/>
  </w:num>
  <w:num w:numId="4" w16cid:durableId="1783569884">
    <w:abstractNumId w:val="10"/>
  </w:num>
  <w:num w:numId="5" w16cid:durableId="689064062">
    <w:abstractNumId w:val="11"/>
  </w:num>
  <w:num w:numId="6" w16cid:durableId="1415321484">
    <w:abstractNumId w:val="12"/>
  </w:num>
  <w:num w:numId="7" w16cid:durableId="1689985947">
    <w:abstractNumId w:val="3"/>
  </w:num>
  <w:num w:numId="8" w16cid:durableId="1753772466">
    <w:abstractNumId w:val="4"/>
  </w:num>
  <w:num w:numId="9" w16cid:durableId="1614168559">
    <w:abstractNumId w:val="1"/>
  </w:num>
  <w:num w:numId="10" w16cid:durableId="1346244751">
    <w:abstractNumId w:val="14"/>
  </w:num>
  <w:num w:numId="11" w16cid:durableId="2083404035">
    <w:abstractNumId w:val="5"/>
  </w:num>
  <w:num w:numId="12" w16cid:durableId="1794523150">
    <w:abstractNumId w:val="13"/>
  </w:num>
  <w:num w:numId="13" w16cid:durableId="186022728">
    <w:abstractNumId w:val="2"/>
  </w:num>
  <w:num w:numId="14" w16cid:durableId="943002866">
    <w:abstractNumId w:val="8"/>
  </w:num>
  <w:num w:numId="15" w16cid:durableId="168802113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085A"/>
    <w:rsid w:val="00000E9B"/>
    <w:rsid w:val="0000103B"/>
    <w:rsid w:val="000012A2"/>
    <w:rsid w:val="0000147E"/>
    <w:rsid w:val="0000245A"/>
    <w:rsid w:val="000025E1"/>
    <w:rsid w:val="00002A37"/>
    <w:rsid w:val="00004049"/>
    <w:rsid w:val="000042F5"/>
    <w:rsid w:val="00004530"/>
    <w:rsid w:val="0000564C"/>
    <w:rsid w:val="000057DD"/>
    <w:rsid w:val="00005C5A"/>
    <w:rsid w:val="000060DA"/>
    <w:rsid w:val="00006446"/>
    <w:rsid w:val="00006896"/>
    <w:rsid w:val="00006F34"/>
    <w:rsid w:val="00007CDC"/>
    <w:rsid w:val="000100CE"/>
    <w:rsid w:val="0001055C"/>
    <w:rsid w:val="000107AF"/>
    <w:rsid w:val="000114C8"/>
    <w:rsid w:val="00011661"/>
    <w:rsid w:val="00011B28"/>
    <w:rsid w:val="0001259E"/>
    <w:rsid w:val="000134B9"/>
    <w:rsid w:val="00015D15"/>
    <w:rsid w:val="000176C7"/>
    <w:rsid w:val="00020D54"/>
    <w:rsid w:val="000217E7"/>
    <w:rsid w:val="0002215E"/>
    <w:rsid w:val="0002564D"/>
    <w:rsid w:val="00025ECA"/>
    <w:rsid w:val="00026876"/>
    <w:rsid w:val="0002779B"/>
    <w:rsid w:val="00030CC0"/>
    <w:rsid w:val="0003224E"/>
    <w:rsid w:val="000325B8"/>
    <w:rsid w:val="0003302F"/>
    <w:rsid w:val="00033A1C"/>
    <w:rsid w:val="00034388"/>
    <w:rsid w:val="00034C15"/>
    <w:rsid w:val="00035A75"/>
    <w:rsid w:val="00035EEC"/>
    <w:rsid w:val="00036123"/>
    <w:rsid w:val="00036BA1"/>
    <w:rsid w:val="00036DB2"/>
    <w:rsid w:val="000372FA"/>
    <w:rsid w:val="000404E7"/>
    <w:rsid w:val="0004083B"/>
    <w:rsid w:val="00040D20"/>
    <w:rsid w:val="00040D22"/>
    <w:rsid w:val="0004108D"/>
    <w:rsid w:val="000418BE"/>
    <w:rsid w:val="00041983"/>
    <w:rsid w:val="000422E2"/>
    <w:rsid w:val="00042F22"/>
    <w:rsid w:val="0004334C"/>
    <w:rsid w:val="00043EE8"/>
    <w:rsid w:val="000444EF"/>
    <w:rsid w:val="000472B5"/>
    <w:rsid w:val="000475CD"/>
    <w:rsid w:val="00050A8F"/>
    <w:rsid w:val="00051943"/>
    <w:rsid w:val="00052A07"/>
    <w:rsid w:val="000534E3"/>
    <w:rsid w:val="000537FA"/>
    <w:rsid w:val="00053AE0"/>
    <w:rsid w:val="0005554A"/>
    <w:rsid w:val="0005606A"/>
    <w:rsid w:val="000567A1"/>
    <w:rsid w:val="00056D5A"/>
    <w:rsid w:val="00057117"/>
    <w:rsid w:val="000576E5"/>
    <w:rsid w:val="00057E09"/>
    <w:rsid w:val="000605F8"/>
    <w:rsid w:val="000616E7"/>
    <w:rsid w:val="0006199A"/>
    <w:rsid w:val="00061D59"/>
    <w:rsid w:val="00062480"/>
    <w:rsid w:val="00062632"/>
    <w:rsid w:val="00063CA2"/>
    <w:rsid w:val="0006424F"/>
    <w:rsid w:val="0006487E"/>
    <w:rsid w:val="00064A41"/>
    <w:rsid w:val="000650B8"/>
    <w:rsid w:val="000656B1"/>
    <w:rsid w:val="00065E1A"/>
    <w:rsid w:val="00066041"/>
    <w:rsid w:val="00066A7F"/>
    <w:rsid w:val="00067184"/>
    <w:rsid w:val="00067617"/>
    <w:rsid w:val="00067E8E"/>
    <w:rsid w:val="000701E7"/>
    <w:rsid w:val="000712EE"/>
    <w:rsid w:val="00072DB9"/>
    <w:rsid w:val="00073346"/>
    <w:rsid w:val="00073E47"/>
    <w:rsid w:val="000750FD"/>
    <w:rsid w:val="000768D9"/>
    <w:rsid w:val="000775AA"/>
    <w:rsid w:val="00077E5F"/>
    <w:rsid w:val="00077EE1"/>
    <w:rsid w:val="00080307"/>
    <w:rsid w:val="0008036A"/>
    <w:rsid w:val="00080570"/>
    <w:rsid w:val="00080AB5"/>
    <w:rsid w:val="00081AE6"/>
    <w:rsid w:val="00082665"/>
    <w:rsid w:val="00082A2A"/>
    <w:rsid w:val="00082E42"/>
    <w:rsid w:val="00082FD3"/>
    <w:rsid w:val="00083EDF"/>
    <w:rsid w:val="00084AD6"/>
    <w:rsid w:val="000855EB"/>
    <w:rsid w:val="00085873"/>
    <w:rsid w:val="00085B52"/>
    <w:rsid w:val="000866F2"/>
    <w:rsid w:val="00087203"/>
    <w:rsid w:val="000874EF"/>
    <w:rsid w:val="00087A2D"/>
    <w:rsid w:val="0009009F"/>
    <w:rsid w:val="00091557"/>
    <w:rsid w:val="00091C36"/>
    <w:rsid w:val="000924C1"/>
    <w:rsid w:val="000924F0"/>
    <w:rsid w:val="00093232"/>
    <w:rsid w:val="00093474"/>
    <w:rsid w:val="0009510F"/>
    <w:rsid w:val="000955E0"/>
    <w:rsid w:val="00095A34"/>
    <w:rsid w:val="000968CF"/>
    <w:rsid w:val="00096F25"/>
    <w:rsid w:val="00097193"/>
    <w:rsid w:val="00097312"/>
    <w:rsid w:val="000A0F0E"/>
    <w:rsid w:val="000A1B7B"/>
    <w:rsid w:val="000A2319"/>
    <w:rsid w:val="000A24C1"/>
    <w:rsid w:val="000A25E8"/>
    <w:rsid w:val="000A29F4"/>
    <w:rsid w:val="000A36CD"/>
    <w:rsid w:val="000A3ED3"/>
    <w:rsid w:val="000A40B8"/>
    <w:rsid w:val="000A56F2"/>
    <w:rsid w:val="000A59E9"/>
    <w:rsid w:val="000A5C88"/>
    <w:rsid w:val="000A6B91"/>
    <w:rsid w:val="000B1E0C"/>
    <w:rsid w:val="000B2719"/>
    <w:rsid w:val="000B29D7"/>
    <w:rsid w:val="000B3A8F"/>
    <w:rsid w:val="000B4126"/>
    <w:rsid w:val="000B4AB9"/>
    <w:rsid w:val="000B52E3"/>
    <w:rsid w:val="000B58C3"/>
    <w:rsid w:val="000B61E9"/>
    <w:rsid w:val="000B6AAC"/>
    <w:rsid w:val="000B7878"/>
    <w:rsid w:val="000C07C8"/>
    <w:rsid w:val="000C0993"/>
    <w:rsid w:val="000C1532"/>
    <w:rsid w:val="000C165A"/>
    <w:rsid w:val="000C1BE8"/>
    <w:rsid w:val="000C2962"/>
    <w:rsid w:val="000C2E19"/>
    <w:rsid w:val="000C35A3"/>
    <w:rsid w:val="000C3E69"/>
    <w:rsid w:val="000C4940"/>
    <w:rsid w:val="000C6672"/>
    <w:rsid w:val="000C7705"/>
    <w:rsid w:val="000D0997"/>
    <w:rsid w:val="000D0D07"/>
    <w:rsid w:val="000D1C5A"/>
    <w:rsid w:val="000D241E"/>
    <w:rsid w:val="000D2527"/>
    <w:rsid w:val="000D2753"/>
    <w:rsid w:val="000D2DFA"/>
    <w:rsid w:val="000D3274"/>
    <w:rsid w:val="000D3954"/>
    <w:rsid w:val="000D3AEC"/>
    <w:rsid w:val="000D4797"/>
    <w:rsid w:val="000D4C87"/>
    <w:rsid w:val="000D4D0E"/>
    <w:rsid w:val="000D4EE4"/>
    <w:rsid w:val="000D53BF"/>
    <w:rsid w:val="000D540E"/>
    <w:rsid w:val="000D5A26"/>
    <w:rsid w:val="000D756C"/>
    <w:rsid w:val="000D7FAA"/>
    <w:rsid w:val="000E0527"/>
    <w:rsid w:val="000E18C3"/>
    <w:rsid w:val="000E1E92"/>
    <w:rsid w:val="000E209B"/>
    <w:rsid w:val="000E4531"/>
    <w:rsid w:val="000E5443"/>
    <w:rsid w:val="000E5575"/>
    <w:rsid w:val="000E5767"/>
    <w:rsid w:val="000E5A81"/>
    <w:rsid w:val="000E6C16"/>
    <w:rsid w:val="000E6FFF"/>
    <w:rsid w:val="000E72C0"/>
    <w:rsid w:val="000F00FB"/>
    <w:rsid w:val="000F06D6"/>
    <w:rsid w:val="000F092A"/>
    <w:rsid w:val="000F0EB1"/>
    <w:rsid w:val="000F1106"/>
    <w:rsid w:val="000F14D5"/>
    <w:rsid w:val="000F1A1E"/>
    <w:rsid w:val="000F2073"/>
    <w:rsid w:val="000F27E5"/>
    <w:rsid w:val="000F3A0F"/>
    <w:rsid w:val="000F3BE9"/>
    <w:rsid w:val="000F3F6C"/>
    <w:rsid w:val="000F4643"/>
    <w:rsid w:val="000F5F5C"/>
    <w:rsid w:val="000F68CD"/>
    <w:rsid w:val="000F6DF3"/>
    <w:rsid w:val="000F7AAA"/>
    <w:rsid w:val="0010036F"/>
    <w:rsid w:val="001005FF"/>
    <w:rsid w:val="00103A5E"/>
    <w:rsid w:val="001040BC"/>
    <w:rsid w:val="00105219"/>
    <w:rsid w:val="001062FB"/>
    <w:rsid w:val="001063E6"/>
    <w:rsid w:val="00111422"/>
    <w:rsid w:val="00113CF4"/>
    <w:rsid w:val="0011421C"/>
    <w:rsid w:val="001144BB"/>
    <w:rsid w:val="00114797"/>
    <w:rsid w:val="00114E03"/>
    <w:rsid w:val="001153EA"/>
    <w:rsid w:val="00115643"/>
    <w:rsid w:val="00115961"/>
    <w:rsid w:val="00115B4F"/>
    <w:rsid w:val="0011667F"/>
    <w:rsid w:val="00116765"/>
    <w:rsid w:val="001171F6"/>
    <w:rsid w:val="00117963"/>
    <w:rsid w:val="00117B84"/>
    <w:rsid w:val="00120620"/>
    <w:rsid w:val="00120A22"/>
    <w:rsid w:val="001212D7"/>
    <w:rsid w:val="001219F5"/>
    <w:rsid w:val="00121A20"/>
    <w:rsid w:val="0012377F"/>
    <w:rsid w:val="001241FB"/>
    <w:rsid w:val="00124314"/>
    <w:rsid w:val="0012537B"/>
    <w:rsid w:val="001261C5"/>
    <w:rsid w:val="00126B4A"/>
    <w:rsid w:val="0012750F"/>
    <w:rsid w:val="00127E09"/>
    <w:rsid w:val="001322C1"/>
    <w:rsid w:val="00132576"/>
    <w:rsid w:val="00132ACB"/>
    <w:rsid w:val="00132BB6"/>
    <w:rsid w:val="00132FD0"/>
    <w:rsid w:val="00133396"/>
    <w:rsid w:val="00133ADD"/>
    <w:rsid w:val="001344C0"/>
    <w:rsid w:val="00134588"/>
    <w:rsid w:val="00134675"/>
    <w:rsid w:val="001346FA"/>
    <w:rsid w:val="00134725"/>
    <w:rsid w:val="00134F73"/>
    <w:rsid w:val="00134F78"/>
    <w:rsid w:val="001350BD"/>
    <w:rsid w:val="00135252"/>
    <w:rsid w:val="00137406"/>
    <w:rsid w:val="00137AB5"/>
    <w:rsid w:val="00137B1C"/>
    <w:rsid w:val="00137F0B"/>
    <w:rsid w:val="001404CC"/>
    <w:rsid w:val="00141129"/>
    <w:rsid w:val="001412F6"/>
    <w:rsid w:val="001424EC"/>
    <w:rsid w:val="001425D5"/>
    <w:rsid w:val="00142EC6"/>
    <w:rsid w:val="0014326E"/>
    <w:rsid w:val="00145733"/>
    <w:rsid w:val="001458E1"/>
    <w:rsid w:val="00145DA3"/>
    <w:rsid w:val="00147201"/>
    <w:rsid w:val="00147990"/>
    <w:rsid w:val="00151E23"/>
    <w:rsid w:val="00152197"/>
    <w:rsid w:val="00152342"/>
    <w:rsid w:val="001526E0"/>
    <w:rsid w:val="00153253"/>
    <w:rsid w:val="00153A63"/>
    <w:rsid w:val="001541C1"/>
    <w:rsid w:val="001551B5"/>
    <w:rsid w:val="001553EF"/>
    <w:rsid w:val="00155A7A"/>
    <w:rsid w:val="00156792"/>
    <w:rsid w:val="0015691B"/>
    <w:rsid w:val="00156B38"/>
    <w:rsid w:val="001574D8"/>
    <w:rsid w:val="001575D7"/>
    <w:rsid w:val="00160400"/>
    <w:rsid w:val="00160AA8"/>
    <w:rsid w:val="00161113"/>
    <w:rsid w:val="00162813"/>
    <w:rsid w:val="001639FE"/>
    <w:rsid w:val="00163ADA"/>
    <w:rsid w:val="001647D7"/>
    <w:rsid w:val="001648EC"/>
    <w:rsid w:val="00165169"/>
    <w:rsid w:val="001659C1"/>
    <w:rsid w:val="001665CD"/>
    <w:rsid w:val="00167B14"/>
    <w:rsid w:val="00170134"/>
    <w:rsid w:val="001705C8"/>
    <w:rsid w:val="00170AA9"/>
    <w:rsid w:val="001717DC"/>
    <w:rsid w:val="00171B7D"/>
    <w:rsid w:val="00171E8C"/>
    <w:rsid w:val="00172406"/>
    <w:rsid w:val="001728EC"/>
    <w:rsid w:val="00173250"/>
    <w:rsid w:val="00173A8E"/>
    <w:rsid w:val="00174578"/>
    <w:rsid w:val="00174C36"/>
    <w:rsid w:val="0017502C"/>
    <w:rsid w:val="00175A7A"/>
    <w:rsid w:val="00175CD1"/>
    <w:rsid w:val="001765CF"/>
    <w:rsid w:val="00177139"/>
    <w:rsid w:val="001772B7"/>
    <w:rsid w:val="0018060A"/>
    <w:rsid w:val="00180778"/>
    <w:rsid w:val="0018143F"/>
    <w:rsid w:val="00181E07"/>
    <w:rsid w:val="00181FF8"/>
    <w:rsid w:val="001825FB"/>
    <w:rsid w:val="0018399D"/>
    <w:rsid w:val="00186243"/>
    <w:rsid w:val="0018626C"/>
    <w:rsid w:val="001863AB"/>
    <w:rsid w:val="001866B3"/>
    <w:rsid w:val="0018670F"/>
    <w:rsid w:val="00187323"/>
    <w:rsid w:val="00187624"/>
    <w:rsid w:val="00190330"/>
    <w:rsid w:val="00190890"/>
    <w:rsid w:val="00190AC1"/>
    <w:rsid w:val="00192332"/>
    <w:rsid w:val="001933E8"/>
    <w:rsid w:val="0019341A"/>
    <w:rsid w:val="00194747"/>
    <w:rsid w:val="001948B1"/>
    <w:rsid w:val="00195320"/>
    <w:rsid w:val="00195B31"/>
    <w:rsid w:val="00195E20"/>
    <w:rsid w:val="00196A2A"/>
    <w:rsid w:val="00197DF9"/>
    <w:rsid w:val="001A0FBE"/>
    <w:rsid w:val="001A113F"/>
    <w:rsid w:val="001A1987"/>
    <w:rsid w:val="001A2564"/>
    <w:rsid w:val="001A339A"/>
    <w:rsid w:val="001A3E0C"/>
    <w:rsid w:val="001A4161"/>
    <w:rsid w:val="001A4620"/>
    <w:rsid w:val="001A4B82"/>
    <w:rsid w:val="001A54E9"/>
    <w:rsid w:val="001A5992"/>
    <w:rsid w:val="001A6117"/>
    <w:rsid w:val="001A6173"/>
    <w:rsid w:val="001A6212"/>
    <w:rsid w:val="001A6CBA"/>
    <w:rsid w:val="001A715B"/>
    <w:rsid w:val="001A7C01"/>
    <w:rsid w:val="001A7ED3"/>
    <w:rsid w:val="001B012F"/>
    <w:rsid w:val="001B03E1"/>
    <w:rsid w:val="001B0D97"/>
    <w:rsid w:val="001B1DCC"/>
    <w:rsid w:val="001B1EEF"/>
    <w:rsid w:val="001B209A"/>
    <w:rsid w:val="001B36D8"/>
    <w:rsid w:val="001B3914"/>
    <w:rsid w:val="001B3BB5"/>
    <w:rsid w:val="001B4AC2"/>
    <w:rsid w:val="001B4E9E"/>
    <w:rsid w:val="001B53F5"/>
    <w:rsid w:val="001B5A5D"/>
    <w:rsid w:val="001B6212"/>
    <w:rsid w:val="001B6783"/>
    <w:rsid w:val="001C015B"/>
    <w:rsid w:val="001C05BB"/>
    <w:rsid w:val="001C1CE5"/>
    <w:rsid w:val="001C23EF"/>
    <w:rsid w:val="001C2C2B"/>
    <w:rsid w:val="001C32FA"/>
    <w:rsid w:val="001C3D2A"/>
    <w:rsid w:val="001C4D63"/>
    <w:rsid w:val="001C53D6"/>
    <w:rsid w:val="001C5E6B"/>
    <w:rsid w:val="001C7B09"/>
    <w:rsid w:val="001D0157"/>
    <w:rsid w:val="001D0C79"/>
    <w:rsid w:val="001D0DBD"/>
    <w:rsid w:val="001D2640"/>
    <w:rsid w:val="001D33CA"/>
    <w:rsid w:val="001D3C89"/>
    <w:rsid w:val="001D3E32"/>
    <w:rsid w:val="001D51BA"/>
    <w:rsid w:val="001D53E7"/>
    <w:rsid w:val="001D6342"/>
    <w:rsid w:val="001D697C"/>
    <w:rsid w:val="001D69AD"/>
    <w:rsid w:val="001D6C34"/>
    <w:rsid w:val="001D6D53"/>
    <w:rsid w:val="001D6E03"/>
    <w:rsid w:val="001D7C43"/>
    <w:rsid w:val="001E0384"/>
    <w:rsid w:val="001E04D5"/>
    <w:rsid w:val="001E07CE"/>
    <w:rsid w:val="001E4617"/>
    <w:rsid w:val="001E58E2"/>
    <w:rsid w:val="001E5A6E"/>
    <w:rsid w:val="001E6199"/>
    <w:rsid w:val="001E665C"/>
    <w:rsid w:val="001E7AED"/>
    <w:rsid w:val="001E7D4D"/>
    <w:rsid w:val="001E7DB0"/>
    <w:rsid w:val="001F09BF"/>
    <w:rsid w:val="001F0E30"/>
    <w:rsid w:val="001F3769"/>
    <w:rsid w:val="001F3916"/>
    <w:rsid w:val="001F4D03"/>
    <w:rsid w:val="001F5321"/>
    <w:rsid w:val="001F54C5"/>
    <w:rsid w:val="001F643F"/>
    <w:rsid w:val="001F650E"/>
    <w:rsid w:val="001F659E"/>
    <w:rsid w:val="001F662C"/>
    <w:rsid w:val="001F6BD4"/>
    <w:rsid w:val="001F7074"/>
    <w:rsid w:val="00200490"/>
    <w:rsid w:val="00200D91"/>
    <w:rsid w:val="00201D7A"/>
    <w:rsid w:val="00201F3A"/>
    <w:rsid w:val="00202A7B"/>
    <w:rsid w:val="00202F42"/>
    <w:rsid w:val="0020320E"/>
    <w:rsid w:val="00203C03"/>
    <w:rsid w:val="00203F96"/>
    <w:rsid w:val="002069B2"/>
    <w:rsid w:val="00206AB7"/>
    <w:rsid w:val="00207FA3"/>
    <w:rsid w:val="002103D2"/>
    <w:rsid w:val="00211205"/>
    <w:rsid w:val="00211821"/>
    <w:rsid w:val="00211A06"/>
    <w:rsid w:val="00212FB4"/>
    <w:rsid w:val="00214DA8"/>
    <w:rsid w:val="00214FAA"/>
    <w:rsid w:val="00215423"/>
    <w:rsid w:val="002158FA"/>
    <w:rsid w:val="002162A7"/>
    <w:rsid w:val="0021672E"/>
    <w:rsid w:val="00217971"/>
    <w:rsid w:val="00220600"/>
    <w:rsid w:val="00220CCC"/>
    <w:rsid w:val="00221E62"/>
    <w:rsid w:val="002224DB"/>
    <w:rsid w:val="002228E8"/>
    <w:rsid w:val="00222F29"/>
    <w:rsid w:val="00223F2D"/>
    <w:rsid w:val="00223FCB"/>
    <w:rsid w:val="0022523E"/>
    <w:rsid w:val="002252C3"/>
    <w:rsid w:val="0022568E"/>
    <w:rsid w:val="00225C54"/>
    <w:rsid w:val="002266E9"/>
    <w:rsid w:val="002268F3"/>
    <w:rsid w:val="0022693F"/>
    <w:rsid w:val="00226D6B"/>
    <w:rsid w:val="002270E9"/>
    <w:rsid w:val="002279DF"/>
    <w:rsid w:val="00227E78"/>
    <w:rsid w:val="00230765"/>
    <w:rsid w:val="00230D18"/>
    <w:rsid w:val="00230FE7"/>
    <w:rsid w:val="002319E4"/>
    <w:rsid w:val="00231F30"/>
    <w:rsid w:val="0023211F"/>
    <w:rsid w:val="00232D37"/>
    <w:rsid w:val="00232F87"/>
    <w:rsid w:val="0023379C"/>
    <w:rsid w:val="0023413C"/>
    <w:rsid w:val="00234503"/>
    <w:rsid w:val="00234511"/>
    <w:rsid w:val="00234D1C"/>
    <w:rsid w:val="00235632"/>
    <w:rsid w:val="00235675"/>
    <w:rsid w:val="00235872"/>
    <w:rsid w:val="00236EF0"/>
    <w:rsid w:val="00241559"/>
    <w:rsid w:val="00241958"/>
    <w:rsid w:val="00241A51"/>
    <w:rsid w:val="00242557"/>
    <w:rsid w:val="002435B3"/>
    <w:rsid w:val="002435FA"/>
    <w:rsid w:val="00243603"/>
    <w:rsid w:val="002437F3"/>
    <w:rsid w:val="00243FAF"/>
    <w:rsid w:val="00244286"/>
    <w:rsid w:val="00245775"/>
    <w:rsid w:val="002458EB"/>
    <w:rsid w:val="002460E0"/>
    <w:rsid w:val="002500C8"/>
    <w:rsid w:val="00250240"/>
    <w:rsid w:val="0025111E"/>
    <w:rsid w:val="00252450"/>
    <w:rsid w:val="002525D4"/>
    <w:rsid w:val="00252B25"/>
    <w:rsid w:val="00253376"/>
    <w:rsid w:val="00254121"/>
    <w:rsid w:val="002570D9"/>
    <w:rsid w:val="00257543"/>
    <w:rsid w:val="00257942"/>
    <w:rsid w:val="00260358"/>
    <w:rsid w:val="002617E7"/>
    <w:rsid w:val="00262394"/>
    <w:rsid w:val="00262BB4"/>
    <w:rsid w:val="0026301E"/>
    <w:rsid w:val="00264228"/>
    <w:rsid w:val="00264334"/>
    <w:rsid w:val="002644FE"/>
    <w:rsid w:val="0026473E"/>
    <w:rsid w:val="00264960"/>
    <w:rsid w:val="00265EE6"/>
    <w:rsid w:val="00266214"/>
    <w:rsid w:val="00267991"/>
    <w:rsid w:val="00267C83"/>
    <w:rsid w:val="00267FA3"/>
    <w:rsid w:val="002707E3"/>
    <w:rsid w:val="00270B68"/>
    <w:rsid w:val="00270E68"/>
    <w:rsid w:val="0027144F"/>
    <w:rsid w:val="00271813"/>
    <w:rsid w:val="00271F21"/>
    <w:rsid w:val="00271F3A"/>
    <w:rsid w:val="00273278"/>
    <w:rsid w:val="0027348B"/>
    <w:rsid w:val="0027379A"/>
    <w:rsid w:val="002737F4"/>
    <w:rsid w:val="00273EAF"/>
    <w:rsid w:val="00274AD0"/>
    <w:rsid w:val="00274DBC"/>
    <w:rsid w:val="002750F1"/>
    <w:rsid w:val="00275ABE"/>
    <w:rsid w:val="002774C5"/>
    <w:rsid w:val="002805F5"/>
    <w:rsid w:val="00280751"/>
    <w:rsid w:val="002817B8"/>
    <w:rsid w:val="0028280A"/>
    <w:rsid w:val="00282A1E"/>
    <w:rsid w:val="00282DAE"/>
    <w:rsid w:val="00283A0F"/>
    <w:rsid w:val="0028463B"/>
    <w:rsid w:val="00284D6F"/>
    <w:rsid w:val="00284EEF"/>
    <w:rsid w:val="00284F67"/>
    <w:rsid w:val="00285966"/>
    <w:rsid w:val="00285A4F"/>
    <w:rsid w:val="00286067"/>
    <w:rsid w:val="00286ACD"/>
    <w:rsid w:val="00286E5E"/>
    <w:rsid w:val="00287838"/>
    <w:rsid w:val="002907B5"/>
    <w:rsid w:val="002919DF"/>
    <w:rsid w:val="00292217"/>
    <w:rsid w:val="0029274D"/>
    <w:rsid w:val="002929F4"/>
    <w:rsid w:val="00292B54"/>
    <w:rsid w:val="00292EB7"/>
    <w:rsid w:val="002956E3"/>
    <w:rsid w:val="00295BCC"/>
    <w:rsid w:val="00295BFC"/>
    <w:rsid w:val="00295F9F"/>
    <w:rsid w:val="00296227"/>
    <w:rsid w:val="002963FA"/>
    <w:rsid w:val="00296F44"/>
    <w:rsid w:val="002970DD"/>
    <w:rsid w:val="0029777D"/>
    <w:rsid w:val="00297C16"/>
    <w:rsid w:val="002A055E"/>
    <w:rsid w:val="002A1386"/>
    <w:rsid w:val="002A1B62"/>
    <w:rsid w:val="002A1D4E"/>
    <w:rsid w:val="002A2869"/>
    <w:rsid w:val="002A307D"/>
    <w:rsid w:val="002A311D"/>
    <w:rsid w:val="002A32D1"/>
    <w:rsid w:val="002A3FA7"/>
    <w:rsid w:val="002A65FB"/>
    <w:rsid w:val="002A6894"/>
    <w:rsid w:val="002A740A"/>
    <w:rsid w:val="002A7A6D"/>
    <w:rsid w:val="002A7CFF"/>
    <w:rsid w:val="002A7DCE"/>
    <w:rsid w:val="002B0EBA"/>
    <w:rsid w:val="002B1EEB"/>
    <w:rsid w:val="002B24D6"/>
    <w:rsid w:val="002B255B"/>
    <w:rsid w:val="002B2A82"/>
    <w:rsid w:val="002B3725"/>
    <w:rsid w:val="002B4486"/>
    <w:rsid w:val="002B483B"/>
    <w:rsid w:val="002B6218"/>
    <w:rsid w:val="002B66D2"/>
    <w:rsid w:val="002C024C"/>
    <w:rsid w:val="002C092B"/>
    <w:rsid w:val="002C0BE6"/>
    <w:rsid w:val="002C2186"/>
    <w:rsid w:val="002C2AA8"/>
    <w:rsid w:val="002C2BC3"/>
    <w:rsid w:val="002C3E66"/>
    <w:rsid w:val="002C41E6"/>
    <w:rsid w:val="002C4569"/>
    <w:rsid w:val="002C457F"/>
    <w:rsid w:val="002C4B7A"/>
    <w:rsid w:val="002C50B9"/>
    <w:rsid w:val="002C5E6A"/>
    <w:rsid w:val="002C6C73"/>
    <w:rsid w:val="002C77BF"/>
    <w:rsid w:val="002D071A"/>
    <w:rsid w:val="002D2C96"/>
    <w:rsid w:val="002D2E1A"/>
    <w:rsid w:val="002D34B2"/>
    <w:rsid w:val="002D3B5B"/>
    <w:rsid w:val="002D48B0"/>
    <w:rsid w:val="002D4D10"/>
    <w:rsid w:val="002D59B3"/>
    <w:rsid w:val="002D5AD1"/>
    <w:rsid w:val="002D5B37"/>
    <w:rsid w:val="002D674F"/>
    <w:rsid w:val="002D6C0D"/>
    <w:rsid w:val="002D7637"/>
    <w:rsid w:val="002D7FAD"/>
    <w:rsid w:val="002E17F2"/>
    <w:rsid w:val="002E2E3C"/>
    <w:rsid w:val="002E37E6"/>
    <w:rsid w:val="002E3D72"/>
    <w:rsid w:val="002E4B1F"/>
    <w:rsid w:val="002E5B00"/>
    <w:rsid w:val="002E6445"/>
    <w:rsid w:val="002E71D9"/>
    <w:rsid w:val="002E78AE"/>
    <w:rsid w:val="002E7CAE"/>
    <w:rsid w:val="002F0070"/>
    <w:rsid w:val="002F0657"/>
    <w:rsid w:val="002F2771"/>
    <w:rsid w:val="002F2CD5"/>
    <w:rsid w:val="002F37A9"/>
    <w:rsid w:val="002F49E4"/>
    <w:rsid w:val="002F5438"/>
    <w:rsid w:val="002F5442"/>
    <w:rsid w:val="002F5686"/>
    <w:rsid w:val="002F594B"/>
    <w:rsid w:val="002F5DDE"/>
    <w:rsid w:val="002F6CB6"/>
    <w:rsid w:val="002F760E"/>
    <w:rsid w:val="003006FA"/>
    <w:rsid w:val="00300F14"/>
    <w:rsid w:val="003011A0"/>
    <w:rsid w:val="00301814"/>
    <w:rsid w:val="00301A0D"/>
    <w:rsid w:val="00301CE6"/>
    <w:rsid w:val="003023CD"/>
    <w:rsid w:val="003023FB"/>
    <w:rsid w:val="0030256B"/>
    <w:rsid w:val="00302A2E"/>
    <w:rsid w:val="00302D7C"/>
    <w:rsid w:val="00302FEE"/>
    <w:rsid w:val="00303CC2"/>
    <w:rsid w:val="00304DF1"/>
    <w:rsid w:val="0030501F"/>
    <w:rsid w:val="00306182"/>
    <w:rsid w:val="003076F8"/>
    <w:rsid w:val="00307A77"/>
    <w:rsid w:val="00307BA1"/>
    <w:rsid w:val="0031000E"/>
    <w:rsid w:val="00311702"/>
    <w:rsid w:val="00311E82"/>
    <w:rsid w:val="00313644"/>
    <w:rsid w:val="00313AF7"/>
    <w:rsid w:val="00313D67"/>
    <w:rsid w:val="00313FD6"/>
    <w:rsid w:val="00314194"/>
    <w:rsid w:val="003143BD"/>
    <w:rsid w:val="00315363"/>
    <w:rsid w:val="003153F5"/>
    <w:rsid w:val="003154E4"/>
    <w:rsid w:val="003156B5"/>
    <w:rsid w:val="00315997"/>
    <w:rsid w:val="00315C08"/>
    <w:rsid w:val="00316779"/>
    <w:rsid w:val="003167DF"/>
    <w:rsid w:val="0031794F"/>
    <w:rsid w:val="003203ED"/>
    <w:rsid w:val="003207E0"/>
    <w:rsid w:val="0032098A"/>
    <w:rsid w:val="00322207"/>
    <w:rsid w:val="00322C9F"/>
    <w:rsid w:val="00322F79"/>
    <w:rsid w:val="00323CF6"/>
    <w:rsid w:val="00324849"/>
    <w:rsid w:val="00324D23"/>
    <w:rsid w:val="00325059"/>
    <w:rsid w:val="00325530"/>
    <w:rsid w:val="00325B5E"/>
    <w:rsid w:val="00326106"/>
    <w:rsid w:val="003261A0"/>
    <w:rsid w:val="00326398"/>
    <w:rsid w:val="00326D75"/>
    <w:rsid w:val="003272B2"/>
    <w:rsid w:val="003279F0"/>
    <w:rsid w:val="00327F48"/>
    <w:rsid w:val="00330078"/>
    <w:rsid w:val="003308D2"/>
    <w:rsid w:val="003308E4"/>
    <w:rsid w:val="00330A62"/>
    <w:rsid w:val="003315BD"/>
    <w:rsid w:val="00331751"/>
    <w:rsid w:val="003321D4"/>
    <w:rsid w:val="003328D4"/>
    <w:rsid w:val="0033336C"/>
    <w:rsid w:val="00333457"/>
    <w:rsid w:val="00334579"/>
    <w:rsid w:val="00335858"/>
    <w:rsid w:val="00335C3B"/>
    <w:rsid w:val="00336BDA"/>
    <w:rsid w:val="0034065E"/>
    <w:rsid w:val="00341FE3"/>
    <w:rsid w:val="003420A3"/>
    <w:rsid w:val="00342A2D"/>
    <w:rsid w:val="00342A9F"/>
    <w:rsid w:val="00342BD7"/>
    <w:rsid w:val="00342C9A"/>
    <w:rsid w:val="00342CCC"/>
    <w:rsid w:val="00342D94"/>
    <w:rsid w:val="003437F9"/>
    <w:rsid w:val="00345202"/>
    <w:rsid w:val="00345D15"/>
    <w:rsid w:val="00346735"/>
    <w:rsid w:val="0034681B"/>
    <w:rsid w:val="00346AE7"/>
    <w:rsid w:val="00346DB5"/>
    <w:rsid w:val="00346FF1"/>
    <w:rsid w:val="003477B1"/>
    <w:rsid w:val="00351064"/>
    <w:rsid w:val="00351533"/>
    <w:rsid w:val="00352234"/>
    <w:rsid w:val="0035225A"/>
    <w:rsid w:val="00352347"/>
    <w:rsid w:val="00352795"/>
    <w:rsid w:val="00352A07"/>
    <w:rsid w:val="00352CC2"/>
    <w:rsid w:val="00354E18"/>
    <w:rsid w:val="003555B8"/>
    <w:rsid w:val="00356181"/>
    <w:rsid w:val="003564F3"/>
    <w:rsid w:val="00356BE2"/>
    <w:rsid w:val="00357380"/>
    <w:rsid w:val="003602D9"/>
    <w:rsid w:val="003604CE"/>
    <w:rsid w:val="00361223"/>
    <w:rsid w:val="003613A9"/>
    <w:rsid w:val="003614A7"/>
    <w:rsid w:val="0036211F"/>
    <w:rsid w:val="003637A8"/>
    <w:rsid w:val="00363DCB"/>
    <w:rsid w:val="00364C45"/>
    <w:rsid w:val="00365B10"/>
    <w:rsid w:val="00366F9D"/>
    <w:rsid w:val="00367C42"/>
    <w:rsid w:val="00367C66"/>
    <w:rsid w:val="00367E4E"/>
    <w:rsid w:val="00367EEF"/>
    <w:rsid w:val="00370E47"/>
    <w:rsid w:val="003717F4"/>
    <w:rsid w:val="00371E3E"/>
    <w:rsid w:val="00371FBB"/>
    <w:rsid w:val="003721C3"/>
    <w:rsid w:val="003724AA"/>
    <w:rsid w:val="003742AC"/>
    <w:rsid w:val="00374545"/>
    <w:rsid w:val="0037612D"/>
    <w:rsid w:val="00377CE1"/>
    <w:rsid w:val="00380A50"/>
    <w:rsid w:val="003817D2"/>
    <w:rsid w:val="00383CA7"/>
    <w:rsid w:val="003845A1"/>
    <w:rsid w:val="00385BF0"/>
    <w:rsid w:val="003861F0"/>
    <w:rsid w:val="0038685E"/>
    <w:rsid w:val="00387619"/>
    <w:rsid w:val="00387E73"/>
    <w:rsid w:val="003910E1"/>
    <w:rsid w:val="00391BDB"/>
    <w:rsid w:val="00393066"/>
    <w:rsid w:val="0039371A"/>
    <w:rsid w:val="003939FF"/>
    <w:rsid w:val="00393D2A"/>
    <w:rsid w:val="0039429B"/>
    <w:rsid w:val="003949EB"/>
    <w:rsid w:val="0039787D"/>
    <w:rsid w:val="003A1454"/>
    <w:rsid w:val="003A2223"/>
    <w:rsid w:val="003A2965"/>
    <w:rsid w:val="003A2A0F"/>
    <w:rsid w:val="003A2F47"/>
    <w:rsid w:val="003A3FC4"/>
    <w:rsid w:val="003A4234"/>
    <w:rsid w:val="003A43FF"/>
    <w:rsid w:val="003A45A1"/>
    <w:rsid w:val="003A45D2"/>
    <w:rsid w:val="003A4756"/>
    <w:rsid w:val="003A5B0A"/>
    <w:rsid w:val="003A6BAC"/>
    <w:rsid w:val="003A70A4"/>
    <w:rsid w:val="003A711D"/>
    <w:rsid w:val="003A77DB"/>
    <w:rsid w:val="003A79EF"/>
    <w:rsid w:val="003A7A7B"/>
    <w:rsid w:val="003A7AAE"/>
    <w:rsid w:val="003A7EF3"/>
    <w:rsid w:val="003B0D92"/>
    <w:rsid w:val="003B159C"/>
    <w:rsid w:val="003B1CA5"/>
    <w:rsid w:val="003B284A"/>
    <w:rsid w:val="003B2F2A"/>
    <w:rsid w:val="003B369F"/>
    <w:rsid w:val="003B36A3"/>
    <w:rsid w:val="003B3CD8"/>
    <w:rsid w:val="003B3FD6"/>
    <w:rsid w:val="003B489E"/>
    <w:rsid w:val="003B4D81"/>
    <w:rsid w:val="003B54F5"/>
    <w:rsid w:val="003B5969"/>
    <w:rsid w:val="003B6488"/>
    <w:rsid w:val="003B64BB"/>
    <w:rsid w:val="003B732B"/>
    <w:rsid w:val="003B7FE5"/>
    <w:rsid w:val="003C11C8"/>
    <w:rsid w:val="003C140C"/>
    <w:rsid w:val="003C1650"/>
    <w:rsid w:val="003C1669"/>
    <w:rsid w:val="003C1854"/>
    <w:rsid w:val="003C2702"/>
    <w:rsid w:val="003C2A4B"/>
    <w:rsid w:val="003C2A75"/>
    <w:rsid w:val="003C2BA5"/>
    <w:rsid w:val="003C2C40"/>
    <w:rsid w:val="003C3334"/>
    <w:rsid w:val="003C3D5F"/>
    <w:rsid w:val="003C4281"/>
    <w:rsid w:val="003C4321"/>
    <w:rsid w:val="003C438E"/>
    <w:rsid w:val="003C5090"/>
    <w:rsid w:val="003C5141"/>
    <w:rsid w:val="003C7564"/>
    <w:rsid w:val="003C7806"/>
    <w:rsid w:val="003D06F3"/>
    <w:rsid w:val="003D109F"/>
    <w:rsid w:val="003D1471"/>
    <w:rsid w:val="003D2197"/>
    <w:rsid w:val="003D2478"/>
    <w:rsid w:val="003D35AA"/>
    <w:rsid w:val="003D3C45"/>
    <w:rsid w:val="003D3D1D"/>
    <w:rsid w:val="003D40C9"/>
    <w:rsid w:val="003D4D72"/>
    <w:rsid w:val="003D5B1F"/>
    <w:rsid w:val="003D6747"/>
    <w:rsid w:val="003E0611"/>
    <w:rsid w:val="003E0749"/>
    <w:rsid w:val="003E0877"/>
    <w:rsid w:val="003E0C7D"/>
    <w:rsid w:val="003E15FA"/>
    <w:rsid w:val="003E20E4"/>
    <w:rsid w:val="003E2759"/>
    <w:rsid w:val="003E2FCE"/>
    <w:rsid w:val="003E35AF"/>
    <w:rsid w:val="003E374F"/>
    <w:rsid w:val="003E37E8"/>
    <w:rsid w:val="003E3DBD"/>
    <w:rsid w:val="003E4B2F"/>
    <w:rsid w:val="003E513B"/>
    <w:rsid w:val="003E55E4"/>
    <w:rsid w:val="003E5CC6"/>
    <w:rsid w:val="003E5F06"/>
    <w:rsid w:val="003E68FF"/>
    <w:rsid w:val="003E6D9C"/>
    <w:rsid w:val="003E74E3"/>
    <w:rsid w:val="003E7804"/>
    <w:rsid w:val="003F05C7"/>
    <w:rsid w:val="003F119D"/>
    <w:rsid w:val="003F253C"/>
    <w:rsid w:val="003F28C9"/>
    <w:rsid w:val="003F2CD4"/>
    <w:rsid w:val="003F5A66"/>
    <w:rsid w:val="003F5C00"/>
    <w:rsid w:val="003F6B46"/>
    <w:rsid w:val="003F6BBE"/>
    <w:rsid w:val="003F7F10"/>
    <w:rsid w:val="004000E8"/>
    <w:rsid w:val="0040046A"/>
    <w:rsid w:val="00400D7E"/>
    <w:rsid w:val="004025E1"/>
    <w:rsid w:val="00402CD3"/>
    <w:rsid w:val="00402E2B"/>
    <w:rsid w:val="0040318A"/>
    <w:rsid w:val="004031A0"/>
    <w:rsid w:val="00403CF3"/>
    <w:rsid w:val="0040442A"/>
    <w:rsid w:val="0040512B"/>
    <w:rsid w:val="00405A45"/>
    <w:rsid w:val="00405AF5"/>
    <w:rsid w:val="00405CA5"/>
    <w:rsid w:val="00406534"/>
    <w:rsid w:val="0040668D"/>
    <w:rsid w:val="00406A04"/>
    <w:rsid w:val="00407AC1"/>
    <w:rsid w:val="00407CD3"/>
    <w:rsid w:val="00410134"/>
    <w:rsid w:val="00410A87"/>
    <w:rsid w:val="00410B72"/>
    <w:rsid w:val="00410F18"/>
    <w:rsid w:val="00410FF6"/>
    <w:rsid w:val="004120EF"/>
    <w:rsid w:val="0041263E"/>
    <w:rsid w:val="004127E9"/>
    <w:rsid w:val="004129D4"/>
    <w:rsid w:val="00413064"/>
    <w:rsid w:val="00413AAC"/>
    <w:rsid w:val="00413CB6"/>
    <w:rsid w:val="00413E92"/>
    <w:rsid w:val="00414244"/>
    <w:rsid w:val="004146C1"/>
    <w:rsid w:val="0041556B"/>
    <w:rsid w:val="004160D2"/>
    <w:rsid w:val="0041631D"/>
    <w:rsid w:val="004167E4"/>
    <w:rsid w:val="00417522"/>
    <w:rsid w:val="00417606"/>
    <w:rsid w:val="004179D5"/>
    <w:rsid w:val="00417C25"/>
    <w:rsid w:val="00421105"/>
    <w:rsid w:val="0042153E"/>
    <w:rsid w:val="00422259"/>
    <w:rsid w:val="00422AA4"/>
    <w:rsid w:val="00423780"/>
    <w:rsid w:val="004242F4"/>
    <w:rsid w:val="00424426"/>
    <w:rsid w:val="0042455D"/>
    <w:rsid w:val="00424A7E"/>
    <w:rsid w:val="00425486"/>
    <w:rsid w:val="00427248"/>
    <w:rsid w:val="00430190"/>
    <w:rsid w:val="00431272"/>
    <w:rsid w:val="004329AC"/>
    <w:rsid w:val="004336BD"/>
    <w:rsid w:val="00434916"/>
    <w:rsid w:val="00435604"/>
    <w:rsid w:val="0043604B"/>
    <w:rsid w:val="00437447"/>
    <w:rsid w:val="00437663"/>
    <w:rsid w:val="00437864"/>
    <w:rsid w:val="004378FB"/>
    <w:rsid w:val="00440CCB"/>
    <w:rsid w:val="00440E34"/>
    <w:rsid w:val="0044155A"/>
    <w:rsid w:val="00441A92"/>
    <w:rsid w:val="00441B0F"/>
    <w:rsid w:val="00442AFE"/>
    <w:rsid w:val="00442C3E"/>
    <w:rsid w:val="004431DC"/>
    <w:rsid w:val="00443475"/>
    <w:rsid w:val="0044359B"/>
    <w:rsid w:val="00443BA3"/>
    <w:rsid w:val="00444F56"/>
    <w:rsid w:val="00445389"/>
    <w:rsid w:val="00445CD8"/>
    <w:rsid w:val="00446488"/>
    <w:rsid w:val="00447931"/>
    <w:rsid w:val="00447CB6"/>
    <w:rsid w:val="0045106C"/>
    <w:rsid w:val="004517AA"/>
    <w:rsid w:val="00452CAC"/>
    <w:rsid w:val="00452D31"/>
    <w:rsid w:val="00453A71"/>
    <w:rsid w:val="00456301"/>
    <w:rsid w:val="00456309"/>
    <w:rsid w:val="00457565"/>
    <w:rsid w:val="00457AA1"/>
    <w:rsid w:val="00457B71"/>
    <w:rsid w:val="004600AD"/>
    <w:rsid w:val="00460457"/>
    <w:rsid w:val="00460625"/>
    <w:rsid w:val="00460694"/>
    <w:rsid w:val="004615B3"/>
    <w:rsid w:val="00462BFE"/>
    <w:rsid w:val="00463125"/>
    <w:rsid w:val="00464B58"/>
    <w:rsid w:val="004669E2"/>
    <w:rsid w:val="00467AE5"/>
    <w:rsid w:val="00470C31"/>
    <w:rsid w:val="004710CC"/>
    <w:rsid w:val="00471C73"/>
    <w:rsid w:val="00471DE0"/>
    <w:rsid w:val="0047268B"/>
    <w:rsid w:val="004734D0"/>
    <w:rsid w:val="00474890"/>
    <w:rsid w:val="004751C1"/>
    <w:rsid w:val="0047543E"/>
    <w:rsid w:val="00475563"/>
    <w:rsid w:val="0047556B"/>
    <w:rsid w:val="0047558B"/>
    <w:rsid w:val="0047598F"/>
    <w:rsid w:val="00477768"/>
    <w:rsid w:val="00477A42"/>
    <w:rsid w:val="0048044E"/>
    <w:rsid w:val="00481037"/>
    <w:rsid w:val="004828E6"/>
    <w:rsid w:val="00483356"/>
    <w:rsid w:val="00487C67"/>
    <w:rsid w:val="00490319"/>
    <w:rsid w:val="00492BC5"/>
    <w:rsid w:val="0049334B"/>
    <w:rsid w:val="00493401"/>
    <w:rsid w:val="0049385E"/>
    <w:rsid w:val="004939C7"/>
    <w:rsid w:val="00493ACB"/>
    <w:rsid w:val="00495DD9"/>
    <w:rsid w:val="00495F2A"/>
    <w:rsid w:val="004964F1"/>
    <w:rsid w:val="0049656B"/>
    <w:rsid w:val="004A056B"/>
    <w:rsid w:val="004A0B1B"/>
    <w:rsid w:val="004A0DAF"/>
    <w:rsid w:val="004A16BC"/>
    <w:rsid w:val="004A2B94"/>
    <w:rsid w:val="004A3B7A"/>
    <w:rsid w:val="004A4175"/>
    <w:rsid w:val="004A53DE"/>
    <w:rsid w:val="004A5ADC"/>
    <w:rsid w:val="004A646E"/>
    <w:rsid w:val="004A7166"/>
    <w:rsid w:val="004B0231"/>
    <w:rsid w:val="004B0256"/>
    <w:rsid w:val="004B082A"/>
    <w:rsid w:val="004B10A0"/>
    <w:rsid w:val="004B1EAD"/>
    <w:rsid w:val="004B1FC8"/>
    <w:rsid w:val="004B2B52"/>
    <w:rsid w:val="004B51DE"/>
    <w:rsid w:val="004B5E08"/>
    <w:rsid w:val="004B6A42"/>
    <w:rsid w:val="004B6F6A"/>
    <w:rsid w:val="004B77C6"/>
    <w:rsid w:val="004B7901"/>
    <w:rsid w:val="004B7C0C"/>
    <w:rsid w:val="004C0031"/>
    <w:rsid w:val="004C1460"/>
    <w:rsid w:val="004C3898"/>
    <w:rsid w:val="004C4C07"/>
    <w:rsid w:val="004C51B3"/>
    <w:rsid w:val="004C696F"/>
    <w:rsid w:val="004C79A0"/>
    <w:rsid w:val="004C7A12"/>
    <w:rsid w:val="004D02F7"/>
    <w:rsid w:val="004D13EC"/>
    <w:rsid w:val="004D1D31"/>
    <w:rsid w:val="004D1DD8"/>
    <w:rsid w:val="004D2DC3"/>
    <w:rsid w:val="004D36B1"/>
    <w:rsid w:val="004D3E3D"/>
    <w:rsid w:val="004D4A96"/>
    <w:rsid w:val="004D4C47"/>
    <w:rsid w:val="004D6CA7"/>
    <w:rsid w:val="004D7EBD"/>
    <w:rsid w:val="004E1A22"/>
    <w:rsid w:val="004E2680"/>
    <w:rsid w:val="004E28F9"/>
    <w:rsid w:val="004E3FC2"/>
    <w:rsid w:val="004E462E"/>
    <w:rsid w:val="004E4BC9"/>
    <w:rsid w:val="004E56DC"/>
    <w:rsid w:val="004E5BA4"/>
    <w:rsid w:val="004E5EE6"/>
    <w:rsid w:val="004E66FC"/>
    <w:rsid w:val="004E76F4"/>
    <w:rsid w:val="004E7D34"/>
    <w:rsid w:val="004F0A03"/>
    <w:rsid w:val="004F0AD8"/>
    <w:rsid w:val="004F0B28"/>
    <w:rsid w:val="004F0B4E"/>
    <w:rsid w:val="004F0B6C"/>
    <w:rsid w:val="004F2078"/>
    <w:rsid w:val="004F22BC"/>
    <w:rsid w:val="004F2627"/>
    <w:rsid w:val="004F333E"/>
    <w:rsid w:val="004F46CB"/>
    <w:rsid w:val="004F48A0"/>
    <w:rsid w:val="004F4DA3"/>
    <w:rsid w:val="004F5506"/>
    <w:rsid w:val="004F749A"/>
    <w:rsid w:val="004F7674"/>
    <w:rsid w:val="005016B4"/>
    <w:rsid w:val="00502B68"/>
    <w:rsid w:val="00502ED5"/>
    <w:rsid w:val="00502F5A"/>
    <w:rsid w:val="00503FB9"/>
    <w:rsid w:val="005045E5"/>
    <w:rsid w:val="0050472E"/>
    <w:rsid w:val="0050491E"/>
    <w:rsid w:val="00504EB1"/>
    <w:rsid w:val="00504F78"/>
    <w:rsid w:val="005055F3"/>
    <w:rsid w:val="00505CD8"/>
    <w:rsid w:val="00506176"/>
    <w:rsid w:val="00506557"/>
    <w:rsid w:val="005066F0"/>
    <w:rsid w:val="0050677A"/>
    <w:rsid w:val="00507107"/>
    <w:rsid w:val="00507867"/>
    <w:rsid w:val="0050799F"/>
    <w:rsid w:val="005108D8"/>
    <w:rsid w:val="00511230"/>
    <w:rsid w:val="005116F9"/>
    <w:rsid w:val="0051194E"/>
    <w:rsid w:val="00511A5C"/>
    <w:rsid w:val="00512456"/>
    <w:rsid w:val="0051279F"/>
    <w:rsid w:val="00512BD9"/>
    <w:rsid w:val="00512DE3"/>
    <w:rsid w:val="00513F47"/>
    <w:rsid w:val="00514070"/>
    <w:rsid w:val="005141D0"/>
    <w:rsid w:val="005153A7"/>
    <w:rsid w:val="0051749A"/>
    <w:rsid w:val="00517897"/>
    <w:rsid w:val="00520140"/>
    <w:rsid w:val="005208B2"/>
    <w:rsid w:val="00521447"/>
    <w:rsid w:val="00521940"/>
    <w:rsid w:val="005219CF"/>
    <w:rsid w:val="005220D5"/>
    <w:rsid w:val="005225CA"/>
    <w:rsid w:val="0052355C"/>
    <w:rsid w:val="005249A0"/>
    <w:rsid w:val="00524BAC"/>
    <w:rsid w:val="00524C4D"/>
    <w:rsid w:val="00524C5E"/>
    <w:rsid w:val="005250C8"/>
    <w:rsid w:val="005253FC"/>
    <w:rsid w:val="005256A8"/>
    <w:rsid w:val="0052640F"/>
    <w:rsid w:val="005270B9"/>
    <w:rsid w:val="00527A27"/>
    <w:rsid w:val="00527FD1"/>
    <w:rsid w:val="0053065B"/>
    <w:rsid w:val="00530AFD"/>
    <w:rsid w:val="0053113D"/>
    <w:rsid w:val="005325B5"/>
    <w:rsid w:val="00533087"/>
    <w:rsid w:val="00533825"/>
    <w:rsid w:val="0053477D"/>
    <w:rsid w:val="00534862"/>
    <w:rsid w:val="00534B59"/>
    <w:rsid w:val="00535C97"/>
    <w:rsid w:val="0053606B"/>
    <w:rsid w:val="00536759"/>
    <w:rsid w:val="0053689D"/>
    <w:rsid w:val="005369AB"/>
    <w:rsid w:val="00537C62"/>
    <w:rsid w:val="00537C66"/>
    <w:rsid w:val="00537F68"/>
    <w:rsid w:val="00540425"/>
    <w:rsid w:val="00540552"/>
    <w:rsid w:val="00541371"/>
    <w:rsid w:val="00541D19"/>
    <w:rsid w:val="005420B3"/>
    <w:rsid w:val="00542877"/>
    <w:rsid w:val="00542A41"/>
    <w:rsid w:val="005448DD"/>
    <w:rsid w:val="00545315"/>
    <w:rsid w:val="00546717"/>
    <w:rsid w:val="00546970"/>
    <w:rsid w:val="005502F4"/>
    <w:rsid w:val="00550720"/>
    <w:rsid w:val="005516D7"/>
    <w:rsid w:val="00552A68"/>
    <w:rsid w:val="00552E23"/>
    <w:rsid w:val="005533B5"/>
    <w:rsid w:val="00554C1F"/>
    <w:rsid w:val="00554E19"/>
    <w:rsid w:val="005565B8"/>
    <w:rsid w:val="005565F3"/>
    <w:rsid w:val="00556DF7"/>
    <w:rsid w:val="00557992"/>
    <w:rsid w:val="00557E51"/>
    <w:rsid w:val="00560158"/>
    <w:rsid w:val="00560574"/>
    <w:rsid w:val="00560EC4"/>
    <w:rsid w:val="0056121F"/>
    <w:rsid w:val="00561866"/>
    <w:rsid w:val="00562B2A"/>
    <w:rsid w:val="00562C98"/>
    <w:rsid w:val="00563FB5"/>
    <w:rsid w:val="00564672"/>
    <w:rsid w:val="00564677"/>
    <w:rsid w:val="00565988"/>
    <w:rsid w:val="00565DC0"/>
    <w:rsid w:val="005703D0"/>
    <w:rsid w:val="00571A54"/>
    <w:rsid w:val="00571CC7"/>
    <w:rsid w:val="00572505"/>
    <w:rsid w:val="00573676"/>
    <w:rsid w:val="005743BD"/>
    <w:rsid w:val="00574D98"/>
    <w:rsid w:val="0057613E"/>
    <w:rsid w:val="00580A61"/>
    <w:rsid w:val="005821FA"/>
    <w:rsid w:val="00582809"/>
    <w:rsid w:val="00583DB5"/>
    <w:rsid w:val="00584C43"/>
    <w:rsid w:val="00584C5F"/>
    <w:rsid w:val="005852E4"/>
    <w:rsid w:val="00586B15"/>
    <w:rsid w:val="00586D9A"/>
    <w:rsid w:val="00586E36"/>
    <w:rsid w:val="0058709F"/>
    <w:rsid w:val="0058798C"/>
    <w:rsid w:val="005900FA"/>
    <w:rsid w:val="005906E8"/>
    <w:rsid w:val="005908F8"/>
    <w:rsid w:val="00590AB6"/>
    <w:rsid w:val="0059186C"/>
    <w:rsid w:val="005935A4"/>
    <w:rsid w:val="00593EE4"/>
    <w:rsid w:val="00594328"/>
    <w:rsid w:val="005948C2"/>
    <w:rsid w:val="00595343"/>
    <w:rsid w:val="00595DCA"/>
    <w:rsid w:val="00597577"/>
    <w:rsid w:val="0059779B"/>
    <w:rsid w:val="005A152E"/>
    <w:rsid w:val="005A209A"/>
    <w:rsid w:val="005A2D31"/>
    <w:rsid w:val="005A3158"/>
    <w:rsid w:val="005A576B"/>
    <w:rsid w:val="005A59CC"/>
    <w:rsid w:val="005A662D"/>
    <w:rsid w:val="005A6DD3"/>
    <w:rsid w:val="005A70C2"/>
    <w:rsid w:val="005A75FC"/>
    <w:rsid w:val="005A78B8"/>
    <w:rsid w:val="005A7E5B"/>
    <w:rsid w:val="005B12D4"/>
    <w:rsid w:val="005B1409"/>
    <w:rsid w:val="005B35D7"/>
    <w:rsid w:val="005B392A"/>
    <w:rsid w:val="005B3AA3"/>
    <w:rsid w:val="005B3C82"/>
    <w:rsid w:val="005B4529"/>
    <w:rsid w:val="005B5970"/>
    <w:rsid w:val="005B6F83"/>
    <w:rsid w:val="005B7BAF"/>
    <w:rsid w:val="005C031E"/>
    <w:rsid w:val="005C0669"/>
    <w:rsid w:val="005C07C3"/>
    <w:rsid w:val="005C0A3E"/>
    <w:rsid w:val="005C2CA8"/>
    <w:rsid w:val="005C3221"/>
    <w:rsid w:val="005C3C93"/>
    <w:rsid w:val="005C468A"/>
    <w:rsid w:val="005C4C35"/>
    <w:rsid w:val="005C5B41"/>
    <w:rsid w:val="005C5FF9"/>
    <w:rsid w:val="005C64A4"/>
    <w:rsid w:val="005C6BBE"/>
    <w:rsid w:val="005C74E7"/>
    <w:rsid w:val="005C74FB"/>
    <w:rsid w:val="005D00F6"/>
    <w:rsid w:val="005D025F"/>
    <w:rsid w:val="005D0288"/>
    <w:rsid w:val="005D0299"/>
    <w:rsid w:val="005D030A"/>
    <w:rsid w:val="005D0474"/>
    <w:rsid w:val="005D1602"/>
    <w:rsid w:val="005D313D"/>
    <w:rsid w:val="005D5A61"/>
    <w:rsid w:val="005D6B73"/>
    <w:rsid w:val="005D6D87"/>
    <w:rsid w:val="005D6E8B"/>
    <w:rsid w:val="005E042F"/>
    <w:rsid w:val="005E0758"/>
    <w:rsid w:val="005E0D1C"/>
    <w:rsid w:val="005E2C9B"/>
    <w:rsid w:val="005E3354"/>
    <w:rsid w:val="005E385F"/>
    <w:rsid w:val="005E5B81"/>
    <w:rsid w:val="005E5C4E"/>
    <w:rsid w:val="005E7341"/>
    <w:rsid w:val="005E7E46"/>
    <w:rsid w:val="005F0760"/>
    <w:rsid w:val="005F10F9"/>
    <w:rsid w:val="005F1D11"/>
    <w:rsid w:val="005F2CB1"/>
    <w:rsid w:val="005F2F67"/>
    <w:rsid w:val="005F3025"/>
    <w:rsid w:val="005F3A09"/>
    <w:rsid w:val="005F493C"/>
    <w:rsid w:val="005F521F"/>
    <w:rsid w:val="005F5705"/>
    <w:rsid w:val="005F618C"/>
    <w:rsid w:val="005F6FAB"/>
    <w:rsid w:val="005F70BD"/>
    <w:rsid w:val="005F7262"/>
    <w:rsid w:val="00600394"/>
    <w:rsid w:val="00600B31"/>
    <w:rsid w:val="0060117E"/>
    <w:rsid w:val="006023AF"/>
    <w:rsid w:val="0060283C"/>
    <w:rsid w:val="00602DDA"/>
    <w:rsid w:val="00604337"/>
    <w:rsid w:val="006043EB"/>
    <w:rsid w:val="00604F14"/>
    <w:rsid w:val="00605980"/>
    <w:rsid w:val="00605A28"/>
    <w:rsid w:val="00606CDC"/>
    <w:rsid w:val="00607058"/>
    <w:rsid w:val="00607A45"/>
    <w:rsid w:val="006106BC"/>
    <w:rsid w:val="00611876"/>
    <w:rsid w:val="00611ADC"/>
    <w:rsid w:val="00611B83"/>
    <w:rsid w:val="0061212A"/>
    <w:rsid w:val="006122A8"/>
    <w:rsid w:val="00613257"/>
    <w:rsid w:val="00613C56"/>
    <w:rsid w:val="006156C2"/>
    <w:rsid w:val="00617981"/>
    <w:rsid w:val="00617D08"/>
    <w:rsid w:val="00620500"/>
    <w:rsid w:val="00620A71"/>
    <w:rsid w:val="00620D80"/>
    <w:rsid w:val="0062170B"/>
    <w:rsid w:val="00622113"/>
    <w:rsid w:val="0062271E"/>
    <w:rsid w:val="006234A6"/>
    <w:rsid w:val="0062362F"/>
    <w:rsid w:val="006272AD"/>
    <w:rsid w:val="006277B2"/>
    <w:rsid w:val="00630001"/>
    <w:rsid w:val="006311B3"/>
    <w:rsid w:val="006311CB"/>
    <w:rsid w:val="006323C2"/>
    <w:rsid w:val="0063284C"/>
    <w:rsid w:val="00633317"/>
    <w:rsid w:val="00634371"/>
    <w:rsid w:val="0063449F"/>
    <w:rsid w:val="00634D42"/>
    <w:rsid w:val="00636097"/>
    <w:rsid w:val="00636398"/>
    <w:rsid w:val="006368D3"/>
    <w:rsid w:val="006377EC"/>
    <w:rsid w:val="00637FD5"/>
    <w:rsid w:val="00640391"/>
    <w:rsid w:val="00640394"/>
    <w:rsid w:val="0064119A"/>
    <w:rsid w:val="0064151F"/>
    <w:rsid w:val="00641533"/>
    <w:rsid w:val="006416A4"/>
    <w:rsid w:val="00641FF8"/>
    <w:rsid w:val="0064208D"/>
    <w:rsid w:val="00642754"/>
    <w:rsid w:val="00643475"/>
    <w:rsid w:val="0064396A"/>
    <w:rsid w:val="00643C00"/>
    <w:rsid w:val="0064410C"/>
    <w:rsid w:val="006447B1"/>
    <w:rsid w:val="006447FF"/>
    <w:rsid w:val="00644D03"/>
    <w:rsid w:val="00645256"/>
    <w:rsid w:val="00646135"/>
    <w:rsid w:val="0064624E"/>
    <w:rsid w:val="00646367"/>
    <w:rsid w:val="006467A6"/>
    <w:rsid w:val="006470D9"/>
    <w:rsid w:val="00647561"/>
    <w:rsid w:val="006505C5"/>
    <w:rsid w:val="00650812"/>
    <w:rsid w:val="00650AB9"/>
    <w:rsid w:val="00650F4B"/>
    <w:rsid w:val="00653528"/>
    <w:rsid w:val="0065382D"/>
    <w:rsid w:val="00655733"/>
    <w:rsid w:val="006557D6"/>
    <w:rsid w:val="006558D9"/>
    <w:rsid w:val="00655ACD"/>
    <w:rsid w:val="0065674B"/>
    <w:rsid w:val="00656A92"/>
    <w:rsid w:val="00656DDE"/>
    <w:rsid w:val="00657189"/>
    <w:rsid w:val="0066011D"/>
    <w:rsid w:val="006607C0"/>
    <w:rsid w:val="00660995"/>
    <w:rsid w:val="006613A6"/>
    <w:rsid w:val="00662177"/>
    <w:rsid w:val="006626D2"/>
    <w:rsid w:val="006627A2"/>
    <w:rsid w:val="00662EF8"/>
    <w:rsid w:val="006634E6"/>
    <w:rsid w:val="00663AC5"/>
    <w:rsid w:val="0066440C"/>
    <w:rsid w:val="0066522D"/>
    <w:rsid w:val="006655EE"/>
    <w:rsid w:val="00667EE7"/>
    <w:rsid w:val="00670922"/>
    <w:rsid w:val="00670A9A"/>
    <w:rsid w:val="00670BE1"/>
    <w:rsid w:val="00671A28"/>
    <w:rsid w:val="0067218F"/>
    <w:rsid w:val="00673CB9"/>
    <w:rsid w:val="00673E16"/>
    <w:rsid w:val="00674004"/>
    <w:rsid w:val="006741F2"/>
    <w:rsid w:val="00674CC3"/>
    <w:rsid w:val="00674D08"/>
    <w:rsid w:val="00675C72"/>
    <w:rsid w:val="00676D92"/>
    <w:rsid w:val="00676F9C"/>
    <w:rsid w:val="006771F9"/>
    <w:rsid w:val="006776D7"/>
    <w:rsid w:val="0068093D"/>
    <w:rsid w:val="00681003"/>
    <w:rsid w:val="00681238"/>
    <w:rsid w:val="006817C9"/>
    <w:rsid w:val="0068207C"/>
    <w:rsid w:val="006837E3"/>
    <w:rsid w:val="00683B6D"/>
    <w:rsid w:val="00683ECE"/>
    <w:rsid w:val="00684287"/>
    <w:rsid w:val="006847C5"/>
    <w:rsid w:val="00684845"/>
    <w:rsid w:val="0068484C"/>
    <w:rsid w:val="00685022"/>
    <w:rsid w:val="00685492"/>
    <w:rsid w:val="00685FBF"/>
    <w:rsid w:val="006922AD"/>
    <w:rsid w:val="00692A8D"/>
    <w:rsid w:val="00692D9F"/>
    <w:rsid w:val="00693A2F"/>
    <w:rsid w:val="00693BA7"/>
    <w:rsid w:val="00694098"/>
    <w:rsid w:val="00694605"/>
    <w:rsid w:val="00694D2B"/>
    <w:rsid w:val="00694EB8"/>
    <w:rsid w:val="006950E8"/>
    <w:rsid w:val="00695618"/>
    <w:rsid w:val="00695FC2"/>
    <w:rsid w:val="00696949"/>
    <w:rsid w:val="00697052"/>
    <w:rsid w:val="006A1605"/>
    <w:rsid w:val="006A2CBF"/>
    <w:rsid w:val="006A430B"/>
    <w:rsid w:val="006A46FB"/>
    <w:rsid w:val="006A5D28"/>
    <w:rsid w:val="006A5E28"/>
    <w:rsid w:val="006A5F38"/>
    <w:rsid w:val="006A5FC1"/>
    <w:rsid w:val="006A61F7"/>
    <w:rsid w:val="006A697B"/>
    <w:rsid w:val="006A7AFF"/>
    <w:rsid w:val="006A7C03"/>
    <w:rsid w:val="006A7CE7"/>
    <w:rsid w:val="006B03FB"/>
    <w:rsid w:val="006B1816"/>
    <w:rsid w:val="006B1995"/>
    <w:rsid w:val="006B2099"/>
    <w:rsid w:val="006B2E93"/>
    <w:rsid w:val="006B3575"/>
    <w:rsid w:val="006B4C7F"/>
    <w:rsid w:val="006B4EB1"/>
    <w:rsid w:val="006B50C0"/>
    <w:rsid w:val="006B50CF"/>
    <w:rsid w:val="006B591C"/>
    <w:rsid w:val="006B5BE2"/>
    <w:rsid w:val="006B64E4"/>
    <w:rsid w:val="006B70B6"/>
    <w:rsid w:val="006C03B8"/>
    <w:rsid w:val="006C5236"/>
    <w:rsid w:val="006C5716"/>
    <w:rsid w:val="006C5EC9"/>
    <w:rsid w:val="006C5FB4"/>
    <w:rsid w:val="006C6059"/>
    <w:rsid w:val="006C6CFD"/>
    <w:rsid w:val="006C6D7C"/>
    <w:rsid w:val="006C730D"/>
    <w:rsid w:val="006C7522"/>
    <w:rsid w:val="006D0CDE"/>
    <w:rsid w:val="006D1DE9"/>
    <w:rsid w:val="006D224C"/>
    <w:rsid w:val="006D5435"/>
    <w:rsid w:val="006D593B"/>
    <w:rsid w:val="006D5E6D"/>
    <w:rsid w:val="006D60EA"/>
    <w:rsid w:val="006D6107"/>
    <w:rsid w:val="006D69DB"/>
    <w:rsid w:val="006D6F08"/>
    <w:rsid w:val="006D7652"/>
    <w:rsid w:val="006D778D"/>
    <w:rsid w:val="006E062C"/>
    <w:rsid w:val="006E1C82"/>
    <w:rsid w:val="006E1F33"/>
    <w:rsid w:val="006E26A6"/>
    <w:rsid w:val="006E28B7"/>
    <w:rsid w:val="006E2A9B"/>
    <w:rsid w:val="006E2CDE"/>
    <w:rsid w:val="006E2CE4"/>
    <w:rsid w:val="006E3310"/>
    <w:rsid w:val="006E42B4"/>
    <w:rsid w:val="006E4E39"/>
    <w:rsid w:val="006E53B3"/>
    <w:rsid w:val="006E565E"/>
    <w:rsid w:val="006E6167"/>
    <w:rsid w:val="006E673D"/>
    <w:rsid w:val="006E7011"/>
    <w:rsid w:val="006E778C"/>
    <w:rsid w:val="006E7ABC"/>
    <w:rsid w:val="006E7D3B"/>
    <w:rsid w:val="006F1132"/>
    <w:rsid w:val="006F1868"/>
    <w:rsid w:val="006F1B70"/>
    <w:rsid w:val="006F1F8E"/>
    <w:rsid w:val="006F341D"/>
    <w:rsid w:val="006F3CDE"/>
    <w:rsid w:val="006F3E58"/>
    <w:rsid w:val="006F3FA0"/>
    <w:rsid w:val="006F4A2B"/>
    <w:rsid w:val="006F58D4"/>
    <w:rsid w:val="006F6582"/>
    <w:rsid w:val="006F6583"/>
    <w:rsid w:val="006F7057"/>
    <w:rsid w:val="006F79A5"/>
    <w:rsid w:val="0070346E"/>
    <w:rsid w:val="0070432E"/>
    <w:rsid w:val="00704EDB"/>
    <w:rsid w:val="007055F2"/>
    <w:rsid w:val="007056AE"/>
    <w:rsid w:val="00706101"/>
    <w:rsid w:val="0070631E"/>
    <w:rsid w:val="00706678"/>
    <w:rsid w:val="00707072"/>
    <w:rsid w:val="00707D61"/>
    <w:rsid w:val="00710BC7"/>
    <w:rsid w:val="00710CAA"/>
    <w:rsid w:val="007120EB"/>
    <w:rsid w:val="00712287"/>
    <w:rsid w:val="00712772"/>
    <w:rsid w:val="007133F0"/>
    <w:rsid w:val="00713EBD"/>
    <w:rsid w:val="007148D3"/>
    <w:rsid w:val="00715B9A"/>
    <w:rsid w:val="00716390"/>
    <w:rsid w:val="0071695F"/>
    <w:rsid w:val="00716D6E"/>
    <w:rsid w:val="00716F34"/>
    <w:rsid w:val="007177BE"/>
    <w:rsid w:val="007201A3"/>
    <w:rsid w:val="00720FE2"/>
    <w:rsid w:val="00721BE7"/>
    <w:rsid w:val="00721DA6"/>
    <w:rsid w:val="00723EDC"/>
    <w:rsid w:val="00723EED"/>
    <w:rsid w:val="007244A1"/>
    <w:rsid w:val="007257D0"/>
    <w:rsid w:val="00725DEC"/>
    <w:rsid w:val="0072629D"/>
    <w:rsid w:val="00726EA6"/>
    <w:rsid w:val="00727208"/>
    <w:rsid w:val="007272CB"/>
    <w:rsid w:val="007274EE"/>
    <w:rsid w:val="00727680"/>
    <w:rsid w:val="007301FC"/>
    <w:rsid w:val="00730572"/>
    <w:rsid w:val="0073067B"/>
    <w:rsid w:val="007307B9"/>
    <w:rsid w:val="00732015"/>
    <w:rsid w:val="007327C4"/>
    <w:rsid w:val="00733E19"/>
    <w:rsid w:val="0073412F"/>
    <w:rsid w:val="007348B1"/>
    <w:rsid w:val="0073496B"/>
    <w:rsid w:val="0073521F"/>
    <w:rsid w:val="00735720"/>
    <w:rsid w:val="0073627E"/>
    <w:rsid w:val="007362A6"/>
    <w:rsid w:val="00736D7D"/>
    <w:rsid w:val="00737336"/>
    <w:rsid w:val="0073748C"/>
    <w:rsid w:val="00737D25"/>
    <w:rsid w:val="00737FEE"/>
    <w:rsid w:val="007407FC"/>
    <w:rsid w:val="007409B9"/>
    <w:rsid w:val="00740E58"/>
    <w:rsid w:val="007417F6"/>
    <w:rsid w:val="00741E98"/>
    <w:rsid w:val="00741F51"/>
    <w:rsid w:val="00742ABF"/>
    <w:rsid w:val="00742B3A"/>
    <w:rsid w:val="00743924"/>
    <w:rsid w:val="00744553"/>
    <w:rsid w:val="007445A0"/>
    <w:rsid w:val="00744DF0"/>
    <w:rsid w:val="00744E23"/>
    <w:rsid w:val="007450C4"/>
    <w:rsid w:val="0074524B"/>
    <w:rsid w:val="00747375"/>
    <w:rsid w:val="007475FB"/>
    <w:rsid w:val="00747C4E"/>
    <w:rsid w:val="00747D8B"/>
    <w:rsid w:val="007503A4"/>
    <w:rsid w:val="0075090E"/>
    <w:rsid w:val="00750C70"/>
    <w:rsid w:val="00751228"/>
    <w:rsid w:val="0075168C"/>
    <w:rsid w:val="0075172F"/>
    <w:rsid w:val="007519B5"/>
    <w:rsid w:val="00752848"/>
    <w:rsid w:val="007540A0"/>
    <w:rsid w:val="007555E1"/>
    <w:rsid w:val="0075570D"/>
    <w:rsid w:val="007571E1"/>
    <w:rsid w:val="007577D2"/>
    <w:rsid w:val="00757A16"/>
    <w:rsid w:val="007604B2"/>
    <w:rsid w:val="007617AA"/>
    <w:rsid w:val="00762AFA"/>
    <w:rsid w:val="00762DC5"/>
    <w:rsid w:val="0076523C"/>
    <w:rsid w:val="00765281"/>
    <w:rsid w:val="007656A3"/>
    <w:rsid w:val="00765B00"/>
    <w:rsid w:val="00766ADF"/>
    <w:rsid w:val="00766BAD"/>
    <w:rsid w:val="00767A70"/>
    <w:rsid w:val="00767F13"/>
    <w:rsid w:val="007704B7"/>
    <w:rsid w:val="00770FED"/>
    <w:rsid w:val="00771EC6"/>
    <w:rsid w:val="007729A2"/>
    <w:rsid w:val="007732BA"/>
    <w:rsid w:val="00773350"/>
    <w:rsid w:val="00773B42"/>
    <w:rsid w:val="00773FF3"/>
    <w:rsid w:val="00774329"/>
    <w:rsid w:val="0077448B"/>
    <w:rsid w:val="007755F2"/>
    <w:rsid w:val="00775F56"/>
    <w:rsid w:val="00776971"/>
    <w:rsid w:val="00777ADD"/>
    <w:rsid w:val="00780A80"/>
    <w:rsid w:val="0078177E"/>
    <w:rsid w:val="00781C2A"/>
    <w:rsid w:val="0078304C"/>
    <w:rsid w:val="00783214"/>
    <w:rsid w:val="00783673"/>
    <w:rsid w:val="00783B94"/>
    <w:rsid w:val="00784142"/>
    <w:rsid w:val="007844A9"/>
    <w:rsid w:val="0078483D"/>
    <w:rsid w:val="00785328"/>
    <w:rsid w:val="00785490"/>
    <w:rsid w:val="00785BBD"/>
    <w:rsid w:val="007863A2"/>
    <w:rsid w:val="007876E8"/>
    <w:rsid w:val="00787A32"/>
    <w:rsid w:val="007901AA"/>
    <w:rsid w:val="00790CAF"/>
    <w:rsid w:val="00790D77"/>
    <w:rsid w:val="00791415"/>
    <w:rsid w:val="0079217A"/>
    <w:rsid w:val="007924BF"/>
    <w:rsid w:val="007925EA"/>
    <w:rsid w:val="00792BEE"/>
    <w:rsid w:val="00793000"/>
    <w:rsid w:val="00793CD8"/>
    <w:rsid w:val="0079426D"/>
    <w:rsid w:val="00794371"/>
    <w:rsid w:val="00794BBD"/>
    <w:rsid w:val="00795086"/>
    <w:rsid w:val="00795331"/>
    <w:rsid w:val="00795913"/>
    <w:rsid w:val="00795C92"/>
    <w:rsid w:val="00796231"/>
    <w:rsid w:val="007975F9"/>
    <w:rsid w:val="00797CA3"/>
    <w:rsid w:val="007A1214"/>
    <w:rsid w:val="007A18BE"/>
    <w:rsid w:val="007A1CB3"/>
    <w:rsid w:val="007A23C9"/>
    <w:rsid w:val="007A247C"/>
    <w:rsid w:val="007A25AD"/>
    <w:rsid w:val="007A306F"/>
    <w:rsid w:val="007A328B"/>
    <w:rsid w:val="007A33B4"/>
    <w:rsid w:val="007A43A6"/>
    <w:rsid w:val="007A58A6"/>
    <w:rsid w:val="007A7714"/>
    <w:rsid w:val="007A7755"/>
    <w:rsid w:val="007A7C71"/>
    <w:rsid w:val="007B057E"/>
    <w:rsid w:val="007B0E9B"/>
    <w:rsid w:val="007B10F1"/>
    <w:rsid w:val="007B1F58"/>
    <w:rsid w:val="007B22E3"/>
    <w:rsid w:val="007B3A4B"/>
    <w:rsid w:val="007B3D2D"/>
    <w:rsid w:val="007B4075"/>
    <w:rsid w:val="007B4452"/>
    <w:rsid w:val="007B4F1C"/>
    <w:rsid w:val="007B50AE"/>
    <w:rsid w:val="007B51DF"/>
    <w:rsid w:val="007B6715"/>
    <w:rsid w:val="007B7C66"/>
    <w:rsid w:val="007C05DD"/>
    <w:rsid w:val="007C2071"/>
    <w:rsid w:val="007C3D18"/>
    <w:rsid w:val="007C5922"/>
    <w:rsid w:val="007C6048"/>
    <w:rsid w:val="007C60BF"/>
    <w:rsid w:val="007C6A07"/>
    <w:rsid w:val="007C75A1"/>
    <w:rsid w:val="007C77A5"/>
    <w:rsid w:val="007D04E5"/>
    <w:rsid w:val="007D3852"/>
    <w:rsid w:val="007D4BC3"/>
    <w:rsid w:val="007D5901"/>
    <w:rsid w:val="007D5939"/>
    <w:rsid w:val="007D6C73"/>
    <w:rsid w:val="007D7526"/>
    <w:rsid w:val="007D7ABB"/>
    <w:rsid w:val="007D7B1D"/>
    <w:rsid w:val="007E0342"/>
    <w:rsid w:val="007E0910"/>
    <w:rsid w:val="007E1ACF"/>
    <w:rsid w:val="007E2876"/>
    <w:rsid w:val="007E2C09"/>
    <w:rsid w:val="007E2F35"/>
    <w:rsid w:val="007E3947"/>
    <w:rsid w:val="007E3961"/>
    <w:rsid w:val="007E4337"/>
    <w:rsid w:val="007E4610"/>
    <w:rsid w:val="007E4715"/>
    <w:rsid w:val="007E505B"/>
    <w:rsid w:val="007E5629"/>
    <w:rsid w:val="007E5B57"/>
    <w:rsid w:val="007E5CCD"/>
    <w:rsid w:val="007E64B4"/>
    <w:rsid w:val="007E7091"/>
    <w:rsid w:val="007E7523"/>
    <w:rsid w:val="007E75FF"/>
    <w:rsid w:val="007F013D"/>
    <w:rsid w:val="007F09EA"/>
    <w:rsid w:val="007F1C44"/>
    <w:rsid w:val="007F2065"/>
    <w:rsid w:val="007F2083"/>
    <w:rsid w:val="007F298F"/>
    <w:rsid w:val="007F3C2D"/>
    <w:rsid w:val="007F4B98"/>
    <w:rsid w:val="007F508A"/>
    <w:rsid w:val="007F6D3F"/>
    <w:rsid w:val="007F7965"/>
    <w:rsid w:val="00800933"/>
    <w:rsid w:val="00800AA4"/>
    <w:rsid w:val="00800CF8"/>
    <w:rsid w:val="00801A85"/>
    <w:rsid w:val="00802896"/>
    <w:rsid w:val="008034D8"/>
    <w:rsid w:val="00803FAE"/>
    <w:rsid w:val="00804BDD"/>
    <w:rsid w:val="00804F8E"/>
    <w:rsid w:val="0080605F"/>
    <w:rsid w:val="0080710A"/>
    <w:rsid w:val="00807786"/>
    <w:rsid w:val="0081160E"/>
    <w:rsid w:val="00811FCB"/>
    <w:rsid w:val="00812F72"/>
    <w:rsid w:val="008133DE"/>
    <w:rsid w:val="00813976"/>
    <w:rsid w:val="0081534B"/>
    <w:rsid w:val="008158D6"/>
    <w:rsid w:val="00815B9C"/>
    <w:rsid w:val="00816522"/>
    <w:rsid w:val="00817196"/>
    <w:rsid w:val="0081726D"/>
    <w:rsid w:val="00817390"/>
    <w:rsid w:val="00820574"/>
    <w:rsid w:val="00821354"/>
    <w:rsid w:val="008213FE"/>
    <w:rsid w:val="00821B52"/>
    <w:rsid w:val="008221A8"/>
    <w:rsid w:val="008230FF"/>
    <w:rsid w:val="008235DB"/>
    <w:rsid w:val="00823FCA"/>
    <w:rsid w:val="008243C3"/>
    <w:rsid w:val="008243D5"/>
    <w:rsid w:val="00824AB4"/>
    <w:rsid w:val="008250BF"/>
    <w:rsid w:val="008252AA"/>
    <w:rsid w:val="00825C42"/>
    <w:rsid w:val="00825D25"/>
    <w:rsid w:val="00826253"/>
    <w:rsid w:val="00826504"/>
    <w:rsid w:val="0082676D"/>
    <w:rsid w:val="00827312"/>
    <w:rsid w:val="00827D6F"/>
    <w:rsid w:val="00827E83"/>
    <w:rsid w:val="00832174"/>
    <w:rsid w:val="008323BF"/>
    <w:rsid w:val="00832F78"/>
    <w:rsid w:val="00836534"/>
    <w:rsid w:val="008369ED"/>
    <w:rsid w:val="00836AD3"/>
    <w:rsid w:val="00837524"/>
    <w:rsid w:val="0083753B"/>
    <w:rsid w:val="008376AC"/>
    <w:rsid w:val="00840000"/>
    <w:rsid w:val="00842217"/>
    <w:rsid w:val="008428FC"/>
    <w:rsid w:val="00842A37"/>
    <w:rsid w:val="00843734"/>
    <w:rsid w:val="00843A55"/>
    <w:rsid w:val="00844420"/>
    <w:rsid w:val="008444E8"/>
    <w:rsid w:val="008445F3"/>
    <w:rsid w:val="00844E80"/>
    <w:rsid w:val="008456CC"/>
    <w:rsid w:val="00845D59"/>
    <w:rsid w:val="00846FE7"/>
    <w:rsid w:val="0084792A"/>
    <w:rsid w:val="00850EFE"/>
    <w:rsid w:val="00850F8B"/>
    <w:rsid w:val="0085185B"/>
    <w:rsid w:val="00853608"/>
    <w:rsid w:val="00853E58"/>
    <w:rsid w:val="00854A40"/>
    <w:rsid w:val="00854FB2"/>
    <w:rsid w:val="00855E79"/>
    <w:rsid w:val="00855E7D"/>
    <w:rsid w:val="00856911"/>
    <w:rsid w:val="00857F5E"/>
    <w:rsid w:val="00861032"/>
    <w:rsid w:val="00861423"/>
    <w:rsid w:val="008621BC"/>
    <w:rsid w:val="00862AA7"/>
    <w:rsid w:val="00862D98"/>
    <w:rsid w:val="00862E76"/>
    <w:rsid w:val="00863969"/>
    <w:rsid w:val="00863CE4"/>
    <w:rsid w:val="0086410A"/>
    <w:rsid w:val="00864BBF"/>
    <w:rsid w:val="008677FD"/>
    <w:rsid w:val="0086798D"/>
    <w:rsid w:val="00867F27"/>
    <w:rsid w:val="008706D4"/>
    <w:rsid w:val="00870D0A"/>
    <w:rsid w:val="00870F8A"/>
    <w:rsid w:val="008719A4"/>
    <w:rsid w:val="00871D23"/>
    <w:rsid w:val="00872146"/>
    <w:rsid w:val="0087343E"/>
    <w:rsid w:val="00874312"/>
    <w:rsid w:val="0087437C"/>
    <w:rsid w:val="0087446B"/>
    <w:rsid w:val="008746DF"/>
    <w:rsid w:val="00874991"/>
    <w:rsid w:val="00875698"/>
    <w:rsid w:val="00875CD7"/>
    <w:rsid w:val="00876B4D"/>
    <w:rsid w:val="00877F18"/>
    <w:rsid w:val="008813AD"/>
    <w:rsid w:val="00882BE8"/>
    <w:rsid w:val="00882D5A"/>
    <w:rsid w:val="00883735"/>
    <w:rsid w:val="0088568A"/>
    <w:rsid w:val="00885997"/>
    <w:rsid w:val="00887704"/>
    <w:rsid w:val="00887CC6"/>
    <w:rsid w:val="008907D8"/>
    <w:rsid w:val="00890C95"/>
    <w:rsid w:val="00891A1F"/>
    <w:rsid w:val="00893D5F"/>
    <w:rsid w:val="00893D81"/>
    <w:rsid w:val="0089405B"/>
    <w:rsid w:val="008941E3"/>
    <w:rsid w:val="00894454"/>
    <w:rsid w:val="00894A88"/>
    <w:rsid w:val="00895386"/>
    <w:rsid w:val="0089629C"/>
    <w:rsid w:val="008A0D24"/>
    <w:rsid w:val="008A21FF"/>
    <w:rsid w:val="008A2CE2"/>
    <w:rsid w:val="008A30AC"/>
    <w:rsid w:val="008A44B8"/>
    <w:rsid w:val="008A4EDF"/>
    <w:rsid w:val="008A51A8"/>
    <w:rsid w:val="008A54C7"/>
    <w:rsid w:val="008A6625"/>
    <w:rsid w:val="008A7648"/>
    <w:rsid w:val="008A766A"/>
    <w:rsid w:val="008A77D8"/>
    <w:rsid w:val="008B0483"/>
    <w:rsid w:val="008B0F85"/>
    <w:rsid w:val="008B120C"/>
    <w:rsid w:val="008B1A5B"/>
    <w:rsid w:val="008B24C5"/>
    <w:rsid w:val="008B4A76"/>
    <w:rsid w:val="008B4B63"/>
    <w:rsid w:val="008B500E"/>
    <w:rsid w:val="008B51A0"/>
    <w:rsid w:val="008B592A"/>
    <w:rsid w:val="008B690D"/>
    <w:rsid w:val="008B6E6A"/>
    <w:rsid w:val="008B7031"/>
    <w:rsid w:val="008B79A5"/>
    <w:rsid w:val="008B7B5C"/>
    <w:rsid w:val="008C0C99"/>
    <w:rsid w:val="008C0CED"/>
    <w:rsid w:val="008C16C4"/>
    <w:rsid w:val="008C1BF8"/>
    <w:rsid w:val="008C1ED4"/>
    <w:rsid w:val="008C2017"/>
    <w:rsid w:val="008C31EC"/>
    <w:rsid w:val="008C45B9"/>
    <w:rsid w:val="008C4958"/>
    <w:rsid w:val="008C49F2"/>
    <w:rsid w:val="008C4BAA"/>
    <w:rsid w:val="008C543F"/>
    <w:rsid w:val="008C5E75"/>
    <w:rsid w:val="008C6AE8"/>
    <w:rsid w:val="008C7573"/>
    <w:rsid w:val="008D00A5"/>
    <w:rsid w:val="008D1739"/>
    <w:rsid w:val="008D1D33"/>
    <w:rsid w:val="008D1E05"/>
    <w:rsid w:val="008D278C"/>
    <w:rsid w:val="008D34F1"/>
    <w:rsid w:val="008D39D8"/>
    <w:rsid w:val="008D438C"/>
    <w:rsid w:val="008D5663"/>
    <w:rsid w:val="008D5F2D"/>
    <w:rsid w:val="008D6362"/>
    <w:rsid w:val="008D666E"/>
    <w:rsid w:val="008D6A7A"/>
    <w:rsid w:val="008D6D1A"/>
    <w:rsid w:val="008D6DDE"/>
    <w:rsid w:val="008D76B7"/>
    <w:rsid w:val="008D7810"/>
    <w:rsid w:val="008D7BB5"/>
    <w:rsid w:val="008E05B3"/>
    <w:rsid w:val="008E065E"/>
    <w:rsid w:val="008E0927"/>
    <w:rsid w:val="008E1909"/>
    <w:rsid w:val="008E20DF"/>
    <w:rsid w:val="008E34A9"/>
    <w:rsid w:val="008E35E4"/>
    <w:rsid w:val="008E46F5"/>
    <w:rsid w:val="008E5301"/>
    <w:rsid w:val="008E53A1"/>
    <w:rsid w:val="008E63E5"/>
    <w:rsid w:val="008F0079"/>
    <w:rsid w:val="008F1C56"/>
    <w:rsid w:val="008F1EAB"/>
    <w:rsid w:val="008F2E2F"/>
    <w:rsid w:val="008F33DC"/>
    <w:rsid w:val="008F477F"/>
    <w:rsid w:val="008F7BA8"/>
    <w:rsid w:val="00902350"/>
    <w:rsid w:val="009023CE"/>
    <w:rsid w:val="009026D2"/>
    <w:rsid w:val="00902988"/>
    <w:rsid w:val="0090336B"/>
    <w:rsid w:val="00903956"/>
    <w:rsid w:val="00904231"/>
    <w:rsid w:val="009049F3"/>
    <w:rsid w:val="009051F6"/>
    <w:rsid w:val="009053AA"/>
    <w:rsid w:val="00906939"/>
    <w:rsid w:val="00910B49"/>
    <w:rsid w:val="00910B54"/>
    <w:rsid w:val="00910B7D"/>
    <w:rsid w:val="00911CE1"/>
    <w:rsid w:val="00911DFB"/>
    <w:rsid w:val="0091380E"/>
    <w:rsid w:val="009139D9"/>
    <w:rsid w:val="00914251"/>
    <w:rsid w:val="00914AD8"/>
    <w:rsid w:val="00914D79"/>
    <w:rsid w:val="00914EC9"/>
    <w:rsid w:val="00915911"/>
    <w:rsid w:val="00915A31"/>
    <w:rsid w:val="00915D64"/>
    <w:rsid w:val="00916079"/>
    <w:rsid w:val="00917422"/>
    <w:rsid w:val="00917476"/>
    <w:rsid w:val="00917CE9"/>
    <w:rsid w:val="00920BF2"/>
    <w:rsid w:val="00920FDA"/>
    <w:rsid w:val="00922010"/>
    <w:rsid w:val="009241E0"/>
    <w:rsid w:val="00924632"/>
    <w:rsid w:val="009248DB"/>
    <w:rsid w:val="00924A02"/>
    <w:rsid w:val="009253F6"/>
    <w:rsid w:val="00925654"/>
    <w:rsid w:val="00926878"/>
    <w:rsid w:val="00926CB3"/>
    <w:rsid w:val="00927803"/>
    <w:rsid w:val="009304B9"/>
    <w:rsid w:val="00930A3E"/>
    <w:rsid w:val="00931029"/>
    <w:rsid w:val="00931642"/>
    <w:rsid w:val="00931BD9"/>
    <w:rsid w:val="00931E37"/>
    <w:rsid w:val="009320DD"/>
    <w:rsid w:val="009324A3"/>
    <w:rsid w:val="00932765"/>
    <w:rsid w:val="009329CD"/>
    <w:rsid w:val="00932B92"/>
    <w:rsid w:val="00933352"/>
    <w:rsid w:val="00933EC7"/>
    <w:rsid w:val="00934309"/>
    <w:rsid w:val="00934CE1"/>
    <w:rsid w:val="00934EBB"/>
    <w:rsid w:val="0093509A"/>
    <w:rsid w:val="009368F3"/>
    <w:rsid w:val="00936CE9"/>
    <w:rsid w:val="00936D5C"/>
    <w:rsid w:val="00936F28"/>
    <w:rsid w:val="0093716F"/>
    <w:rsid w:val="00941255"/>
    <w:rsid w:val="00941636"/>
    <w:rsid w:val="0094357B"/>
    <w:rsid w:val="00943742"/>
    <w:rsid w:val="00943CBC"/>
    <w:rsid w:val="00944836"/>
    <w:rsid w:val="00945789"/>
    <w:rsid w:val="00945C05"/>
    <w:rsid w:val="00946945"/>
    <w:rsid w:val="00947319"/>
    <w:rsid w:val="00947713"/>
    <w:rsid w:val="009479EE"/>
    <w:rsid w:val="0095052C"/>
    <w:rsid w:val="009507DC"/>
    <w:rsid w:val="00950C42"/>
    <w:rsid w:val="00950DE7"/>
    <w:rsid w:val="00950F37"/>
    <w:rsid w:val="009515A0"/>
    <w:rsid w:val="00951B3E"/>
    <w:rsid w:val="00953550"/>
    <w:rsid w:val="009537A9"/>
    <w:rsid w:val="00953920"/>
    <w:rsid w:val="00953D47"/>
    <w:rsid w:val="00954EB5"/>
    <w:rsid w:val="00954F54"/>
    <w:rsid w:val="009554AF"/>
    <w:rsid w:val="0095589D"/>
    <w:rsid w:val="009567E0"/>
    <w:rsid w:val="0095681E"/>
    <w:rsid w:val="009572D4"/>
    <w:rsid w:val="00960E9F"/>
    <w:rsid w:val="009613FB"/>
    <w:rsid w:val="00961921"/>
    <w:rsid w:val="00962041"/>
    <w:rsid w:val="0096430A"/>
    <w:rsid w:val="00964498"/>
    <w:rsid w:val="00964DFD"/>
    <w:rsid w:val="0096554B"/>
    <w:rsid w:val="0096581C"/>
    <w:rsid w:val="0096584A"/>
    <w:rsid w:val="00965C6D"/>
    <w:rsid w:val="00965E98"/>
    <w:rsid w:val="00967F2A"/>
    <w:rsid w:val="009712AE"/>
    <w:rsid w:val="00971F08"/>
    <w:rsid w:val="00972E83"/>
    <w:rsid w:val="00972F88"/>
    <w:rsid w:val="00975796"/>
    <w:rsid w:val="00975A00"/>
    <w:rsid w:val="0097603D"/>
    <w:rsid w:val="0097627E"/>
    <w:rsid w:val="009767AD"/>
    <w:rsid w:val="00976949"/>
    <w:rsid w:val="00976A3A"/>
    <w:rsid w:val="00980477"/>
    <w:rsid w:val="00981826"/>
    <w:rsid w:val="00981ACA"/>
    <w:rsid w:val="00981BD0"/>
    <w:rsid w:val="00981F46"/>
    <w:rsid w:val="00982B97"/>
    <w:rsid w:val="00983296"/>
    <w:rsid w:val="00984F21"/>
    <w:rsid w:val="00985253"/>
    <w:rsid w:val="009853B3"/>
    <w:rsid w:val="00985FFD"/>
    <w:rsid w:val="0098618B"/>
    <w:rsid w:val="00986192"/>
    <w:rsid w:val="00987310"/>
    <w:rsid w:val="00987E5B"/>
    <w:rsid w:val="00990630"/>
    <w:rsid w:val="00990A57"/>
    <w:rsid w:val="00991761"/>
    <w:rsid w:val="00991B66"/>
    <w:rsid w:val="009927D1"/>
    <w:rsid w:val="009936CE"/>
    <w:rsid w:val="00994483"/>
    <w:rsid w:val="00994502"/>
    <w:rsid w:val="009947A6"/>
    <w:rsid w:val="00994DCA"/>
    <w:rsid w:val="00994F28"/>
    <w:rsid w:val="009958B0"/>
    <w:rsid w:val="00995E4B"/>
    <w:rsid w:val="00995E92"/>
    <w:rsid w:val="00995F7C"/>
    <w:rsid w:val="009960EC"/>
    <w:rsid w:val="009970DD"/>
    <w:rsid w:val="0099778A"/>
    <w:rsid w:val="009A0520"/>
    <w:rsid w:val="009A0F19"/>
    <w:rsid w:val="009A0FBA"/>
    <w:rsid w:val="009A1601"/>
    <w:rsid w:val="009A179A"/>
    <w:rsid w:val="009A19A2"/>
    <w:rsid w:val="009A1D74"/>
    <w:rsid w:val="009A3BB6"/>
    <w:rsid w:val="009A3E73"/>
    <w:rsid w:val="009A462D"/>
    <w:rsid w:val="009A4B54"/>
    <w:rsid w:val="009A5CBA"/>
    <w:rsid w:val="009B0EB1"/>
    <w:rsid w:val="009B1419"/>
    <w:rsid w:val="009B184C"/>
    <w:rsid w:val="009B1F30"/>
    <w:rsid w:val="009B3AC2"/>
    <w:rsid w:val="009B41FD"/>
    <w:rsid w:val="009B4655"/>
    <w:rsid w:val="009B472F"/>
    <w:rsid w:val="009B4D14"/>
    <w:rsid w:val="009B4DF4"/>
    <w:rsid w:val="009B4F81"/>
    <w:rsid w:val="009B564E"/>
    <w:rsid w:val="009B5895"/>
    <w:rsid w:val="009B7D9A"/>
    <w:rsid w:val="009B7E87"/>
    <w:rsid w:val="009B7F37"/>
    <w:rsid w:val="009C0169"/>
    <w:rsid w:val="009C0471"/>
    <w:rsid w:val="009C3DCC"/>
    <w:rsid w:val="009C403E"/>
    <w:rsid w:val="009C4187"/>
    <w:rsid w:val="009C62D6"/>
    <w:rsid w:val="009C62F8"/>
    <w:rsid w:val="009C703D"/>
    <w:rsid w:val="009D042B"/>
    <w:rsid w:val="009D0552"/>
    <w:rsid w:val="009D062C"/>
    <w:rsid w:val="009D0EA3"/>
    <w:rsid w:val="009D1556"/>
    <w:rsid w:val="009D17BB"/>
    <w:rsid w:val="009D30D5"/>
    <w:rsid w:val="009D3C14"/>
    <w:rsid w:val="009D46BF"/>
    <w:rsid w:val="009D47E5"/>
    <w:rsid w:val="009D4824"/>
    <w:rsid w:val="009D4F03"/>
    <w:rsid w:val="009D4FF0"/>
    <w:rsid w:val="009D5A2D"/>
    <w:rsid w:val="009D5C01"/>
    <w:rsid w:val="009D703C"/>
    <w:rsid w:val="009D718F"/>
    <w:rsid w:val="009D7E88"/>
    <w:rsid w:val="009E068F"/>
    <w:rsid w:val="009E14E0"/>
    <w:rsid w:val="009E2730"/>
    <w:rsid w:val="009E35DB"/>
    <w:rsid w:val="009E47A3"/>
    <w:rsid w:val="009E6D30"/>
    <w:rsid w:val="009E7E6A"/>
    <w:rsid w:val="009F0477"/>
    <w:rsid w:val="009F08F3"/>
    <w:rsid w:val="009F17C1"/>
    <w:rsid w:val="009F1830"/>
    <w:rsid w:val="009F1EFA"/>
    <w:rsid w:val="009F2EDE"/>
    <w:rsid w:val="009F344F"/>
    <w:rsid w:val="009F3769"/>
    <w:rsid w:val="009F56CF"/>
    <w:rsid w:val="009F6154"/>
    <w:rsid w:val="009F6A27"/>
    <w:rsid w:val="009F6B58"/>
    <w:rsid w:val="009F710D"/>
    <w:rsid w:val="009F73B2"/>
    <w:rsid w:val="009F7D03"/>
    <w:rsid w:val="00A02234"/>
    <w:rsid w:val="00A02E50"/>
    <w:rsid w:val="00A031D8"/>
    <w:rsid w:val="00A03716"/>
    <w:rsid w:val="00A03CBB"/>
    <w:rsid w:val="00A03D85"/>
    <w:rsid w:val="00A048A8"/>
    <w:rsid w:val="00A04F49"/>
    <w:rsid w:val="00A05552"/>
    <w:rsid w:val="00A05564"/>
    <w:rsid w:val="00A05C57"/>
    <w:rsid w:val="00A0678E"/>
    <w:rsid w:val="00A06A11"/>
    <w:rsid w:val="00A1064A"/>
    <w:rsid w:val="00A11498"/>
    <w:rsid w:val="00A114D9"/>
    <w:rsid w:val="00A12AA5"/>
    <w:rsid w:val="00A138B9"/>
    <w:rsid w:val="00A13B5F"/>
    <w:rsid w:val="00A13E54"/>
    <w:rsid w:val="00A14DB3"/>
    <w:rsid w:val="00A1712A"/>
    <w:rsid w:val="00A17A9D"/>
    <w:rsid w:val="00A17F63"/>
    <w:rsid w:val="00A17F8C"/>
    <w:rsid w:val="00A20702"/>
    <w:rsid w:val="00A208F7"/>
    <w:rsid w:val="00A21577"/>
    <w:rsid w:val="00A2193B"/>
    <w:rsid w:val="00A22511"/>
    <w:rsid w:val="00A2351A"/>
    <w:rsid w:val="00A25268"/>
    <w:rsid w:val="00A2542A"/>
    <w:rsid w:val="00A264A9"/>
    <w:rsid w:val="00A26DCF"/>
    <w:rsid w:val="00A27785"/>
    <w:rsid w:val="00A30187"/>
    <w:rsid w:val="00A30F60"/>
    <w:rsid w:val="00A32297"/>
    <w:rsid w:val="00A32CB1"/>
    <w:rsid w:val="00A3392F"/>
    <w:rsid w:val="00A33C2B"/>
    <w:rsid w:val="00A3448A"/>
    <w:rsid w:val="00A3498D"/>
    <w:rsid w:val="00A34E95"/>
    <w:rsid w:val="00A36297"/>
    <w:rsid w:val="00A362F2"/>
    <w:rsid w:val="00A36378"/>
    <w:rsid w:val="00A3727E"/>
    <w:rsid w:val="00A37D27"/>
    <w:rsid w:val="00A37ED8"/>
    <w:rsid w:val="00A40861"/>
    <w:rsid w:val="00A41292"/>
    <w:rsid w:val="00A41742"/>
    <w:rsid w:val="00A41E2B"/>
    <w:rsid w:val="00A41FB0"/>
    <w:rsid w:val="00A42101"/>
    <w:rsid w:val="00A4224D"/>
    <w:rsid w:val="00A428A5"/>
    <w:rsid w:val="00A42BB8"/>
    <w:rsid w:val="00A42BFA"/>
    <w:rsid w:val="00A42F89"/>
    <w:rsid w:val="00A451EA"/>
    <w:rsid w:val="00A45B74"/>
    <w:rsid w:val="00A47EE7"/>
    <w:rsid w:val="00A50E75"/>
    <w:rsid w:val="00A518A0"/>
    <w:rsid w:val="00A52E1D"/>
    <w:rsid w:val="00A5321B"/>
    <w:rsid w:val="00A53234"/>
    <w:rsid w:val="00A55062"/>
    <w:rsid w:val="00A55763"/>
    <w:rsid w:val="00A5671A"/>
    <w:rsid w:val="00A56AFA"/>
    <w:rsid w:val="00A57C7E"/>
    <w:rsid w:val="00A60239"/>
    <w:rsid w:val="00A60D99"/>
    <w:rsid w:val="00A60E99"/>
    <w:rsid w:val="00A60EF1"/>
    <w:rsid w:val="00A61499"/>
    <w:rsid w:val="00A62A77"/>
    <w:rsid w:val="00A63483"/>
    <w:rsid w:val="00A638C6"/>
    <w:rsid w:val="00A65631"/>
    <w:rsid w:val="00A656F2"/>
    <w:rsid w:val="00A657D7"/>
    <w:rsid w:val="00A660AC"/>
    <w:rsid w:val="00A66C59"/>
    <w:rsid w:val="00A67A68"/>
    <w:rsid w:val="00A67E6C"/>
    <w:rsid w:val="00A711FA"/>
    <w:rsid w:val="00A718E7"/>
    <w:rsid w:val="00A71B99"/>
    <w:rsid w:val="00A73380"/>
    <w:rsid w:val="00A739D0"/>
    <w:rsid w:val="00A741BA"/>
    <w:rsid w:val="00A74587"/>
    <w:rsid w:val="00A7467A"/>
    <w:rsid w:val="00A7530D"/>
    <w:rsid w:val="00A761D4"/>
    <w:rsid w:val="00A764BE"/>
    <w:rsid w:val="00A77EC4"/>
    <w:rsid w:val="00A8086D"/>
    <w:rsid w:val="00A80BA4"/>
    <w:rsid w:val="00A82263"/>
    <w:rsid w:val="00A832BB"/>
    <w:rsid w:val="00A83883"/>
    <w:rsid w:val="00A842E1"/>
    <w:rsid w:val="00A84B73"/>
    <w:rsid w:val="00A85C6F"/>
    <w:rsid w:val="00A85E54"/>
    <w:rsid w:val="00A8609C"/>
    <w:rsid w:val="00A875DF"/>
    <w:rsid w:val="00A900FD"/>
    <w:rsid w:val="00A90CAB"/>
    <w:rsid w:val="00A921B2"/>
    <w:rsid w:val="00A92213"/>
    <w:rsid w:val="00A92779"/>
    <w:rsid w:val="00A92879"/>
    <w:rsid w:val="00A93E0F"/>
    <w:rsid w:val="00A94075"/>
    <w:rsid w:val="00A9442A"/>
    <w:rsid w:val="00A9503C"/>
    <w:rsid w:val="00A95EEA"/>
    <w:rsid w:val="00A96010"/>
    <w:rsid w:val="00A96692"/>
    <w:rsid w:val="00A968A3"/>
    <w:rsid w:val="00A97274"/>
    <w:rsid w:val="00AA016F"/>
    <w:rsid w:val="00AA01F3"/>
    <w:rsid w:val="00AA186D"/>
    <w:rsid w:val="00AA1C0C"/>
    <w:rsid w:val="00AA1E3A"/>
    <w:rsid w:val="00AA1ED6"/>
    <w:rsid w:val="00AA2003"/>
    <w:rsid w:val="00AA215A"/>
    <w:rsid w:val="00AA30CD"/>
    <w:rsid w:val="00AA36B4"/>
    <w:rsid w:val="00AA3B4E"/>
    <w:rsid w:val="00AA3CD2"/>
    <w:rsid w:val="00AA43DA"/>
    <w:rsid w:val="00AA51D6"/>
    <w:rsid w:val="00AA5700"/>
    <w:rsid w:val="00AA75B4"/>
    <w:rsid w:val="00AB01BD"/>
    <w:rsid w:val="00AB0BC8"/>
    <w:rsid w:val="00AB1110"/>
    <w:rsid w:val="00AB11CA"/>
    <w:rsid w:val="00AB14D9"/>
    <w:rsid w:val="00AB262A"/>
    <w:rsid w:val="00AB4615"/>
    <w:rsid w:val="00AB4AB8"/>
    <w:rsid w:val="00AB506A"/>
    <w:rsid w:val="00AB6467"/>
    <w:rsid w:val="00AB64B8"/>
    <w:rsid w:val="00AB655E"/>
    <w:rsid w:val="00AB7209"/>
    <w:rsid w:val="00AC007F"/>
    <w:rsid w:val="00AC0447"/>
    <w:rsid w:val="00AC1284"/>
    <w:rsid w:val="00AC16EC"/>
    <w:rsid w:val="00AC2924"/>
    <w:rsid w:val="00AC2ECD"/>
    <w:rsid w:val="00AC3119"/>
    <w:rsid w:val="00AC3F54"/>
    <w:rsid w:val="00AC4173"/>
    <w:rsid w:val="00AC49FB"/>
    <w:rsid w:val="00AC5041"/>
    <w:rsid w:val="00AC5074"/>
    <w:rsid w:val="00AC5A10"/>
    <w:rsid w:val="00AC5E1C"/>
    <w:rsid w:val="00AC70C4"/>
    <w:rsid w:val="00AC7CAB"/>
    <w:rsid w:val="00AD0AA3"/>
    <w:rsid w:val="00AD0D2A"/>
    <w:rsid w:val="00AD0E75"/>
    <w:rsid w:val="00AD285A"/>
    <w:rsid w:val="00AD355B"/>
    <w:rsid w:val="00AD36AC"/>
    <w:rsid w:val="00AD3CA2"/>
    <w:rsid w:val="00AD3F94"/>
    <w:rsid w:val="00AD4A5A"/>
    <w:rsid w:val="00AD508C"/>
    <w:rsid w:val="00AD5144"/>
    <w:rsid w:val="00AD5ED6"/>
    <w:rsid w:val="00AD72EC"/>
    <w:rsid w:val="00AD744A"/>
    <w:rsid w:val="00AE0EAB"/>
    <w:rsid w:val="00AE177B"/>
    <w:rsid w:val="00AE27AC"/>
    <w:rsid w:val="00AE2899"/>
    <w:rsid w:val="00AE40E0"/>
    <w:rsid w:val="00AE4DBA"/>
    <w:rsid w:val="00AE4F07"/>
    <w:rsid w:val="00AE6078"/>
    <w:rsid w:val="00AE69EE"/>
    <w:rsid w:val="00AE7682"/>
    <w:rsid w:val="00AE7E11"/>
    <w:rsid w:val="00AE7E49"/>
    <w:rsid w:val="00AF1C5D"/>
    <w:rsid w:val="00AF31AC"/>
    <w:rsid w:val="00AF42D7"/>
    <w:rsid w:val="00AF4CEF"/>
    <w:rsid w:val="00AF58C0"/>
    <w:rsid w:val="00B006FE"/>
    <w:rsid w:val="00B007CB"/>
    <w:rsid w:val="00B00C78"/>
    <w:rsid w:val="00B01122"/>
    <w:rsid w:val="00B02239"/>
    <w:rsid w:val="00B02790"/>
    <w:rsid w:val="00B02AA9"/>
    <w:rsid w:val="00B02FA3"/>
    <w:rsid w:val="00B03C9B"/>
    <w:rsid w:val="00B04DE7"/>
    <w:rsid w:val="00B04E5C"/>
    <w:rsid w:val="00B05084"/>
    <w:rsid w:val="00B05363"/>
    <w:rsid w:val="00B06366"/>
    <w:rsid w:val="00B06739"/>
    <w:rsid w:val="00B0794C"/>
    <w:rsid w:val="00B10429"/>
    <w:rsid w:val="00B107B8"/>
    <w:rsid w:val="00B10A1D"/>
    <w:rsid w:val="00B12833"/>
    <w:rsid w:val="00B14AEB"/>
    <w:rsid w:val="00B157F9"/>
    <w:rsid w:val="00B15DE3"/>
    <w:rsid w:val="00B17D7F"/>
    <w:rsid w:val="00B17D9B"/>
    <w:rsid w:val="00B20256"/>
    <w:rsid w:val="00B206B3"/>
    <w:rsid w:val="00B20D09"/>
    <w:rsid w:val="00B20E1D"/>
    <w:rsid w:val="00B215F7"/>
    <w:rsid w:val="00B2298F"/>
    <w:rsid w:val="00B24211"/>
    <w:rsid w:val="00B24ACC"/>
    <w:rsid w:val="00B25109"/>
    <w:rsid w:val="00B25AA7"/>
    <w:rsid w:val="00B272E9"/>
    <w:rsid w:val="00B2763F"/>
    <w:rsid w:val="00B27690"/>
    <w:rsid w:val="00B27AAC"/>
    <w:rsid w:val="00B307C7"/>
    <w:rsid w:val="00B30929"/>
    <w:rsid w:val="00B319BC"/>
    <w:rsid w:val="00B32E92"/>
    <w:rsid w:val="00B32F88"/>
    <w:rsid w:val="00B36AB3"/>
    <w:rsid w:val="00B372AA"/>
    <w:rsid w:val="00B37C2E"/>
    <w:rsid w:val="00B401B2"/>
    <w:rsid w:val="00B40445"/>
    <w:rsid w:val="00B409E0"/>
    <w:rsid w:val="00B41888"/>
    <w:rsid w:val="00B4190E"/>
    <w:rsid w:val="00B419E9"/>
    <w:rsid w:val="00B44F0B"/>
    <w:rsid w:val="00B4515C"/>
    <w:rsid w:val="00B451AF"/>
    <w:rsid w:val="00B45A52"/>
    <w:rsid w:val="00B46175"/>
    <w:rsid w:val="00B46E8F"/>
    <w:rsid w:val="00B47934"/>
    <w:rsid w:val="00B50F2B"/>
    <w:rsid w:val="00B51F5E"/>
    <w:rsid w:val="00B5376B"/>
    <w:rsid w:val="00B548B7"/>
    <w:rsid w:val="00B5539E"/>
    <w:rsid w:val="00B5661E"/>
    <w:rsid w:val="00B56B14"/>
    <w:rsid w:val="00B56EBD"/>
    <w:rsid w:val="00B56F16"/>
    <w:rsid w:val="00B5736A"/>
    <w:rsid w:val="00B600A5"/>
    <w:rsid w:val="00B60876"/>
    <w:rsid w:val="00B6108D"/>
    <w:rsid w:val="00B614C4"/>
    <w:rsid w:val="00B61B48"/>
    <w:rsid w:val="00B61D44"/>
    <w:rsid w:val="00B6239F"/>
    <w:rsid w:val="00B6564D"/>
    <w:rsid w:val="00B65AC0"/>
    <w:rsid w:val="00B663C1"/>
    <w:rsid w:val="00B664C7"/>
    <w:rsid w:val="00B67981"/>
    <w:rsid w:val="00B70209"/>
    <w:rsid w:val="00B70F41"/>
    <w:rsid w:val="00B71425"/>
    <w:rsid w:val="00B718C9"/>
    <w:rsid w:val="00B7272D"/>
    <w:rsid w:val="00B739F6"/>
    <w:rsid w:val="00B7547C"/>
    <w:rsid w:val="00B7581E"/>
    <w:rsid w:val="00B75BCB"/>
    <w:rsid w:val="00B75FAF"/>
    <w:rsid w:val="00B772BF"/>
    <w:rsid w:val="00B803FB"/>
    <w:rsid w:val="00B81A6C"/>
    <w:rsid w:val="00B8267D"/>
    <w:rsid w:val="00B82725"/>
    <w:rsid w:val="00B82B9B"/>
    <w:rsid w:val="00B834D3"/>
    <w:rsid w:val="00B84B8B"/>
    <w:rsid w:val="00B8562D"/>
    <w:rsid w:val="00B85D95"/>
    <w:rsid w:val="00B85DE5"/>
    <w:rsid w:val="00B877A1"/>
    <w:rsid w:val="00B90F73"/>
    <w:rsid w:val="00B9173F"/>
    <w:rsid w:val="00B91894"/>
    <w:rsid w:val="00B91EF0"/>
    <w:rsid w:val="00B92205"/>
    <w:rsid w:val="00B9307E"/>
    <w:rsid w:val="00B930BC"/>
    <w:rsid w:val="00B93107"/>
    <w:rsid w:val="00B9364C"/>
    <w:rsid w:val="00B93763"/>
    <w:rsid w:val="00B939BA"/>
    <w:rsid w:val="00B93B59"/>
    <w:rsid w:val="00B9406A"/>
    <w:rsid w:val="00B94DA5"/>
    <w:rsid w:val="00B94E76"/>
    <w:rsid w:val="00B96255"/>
    <w:rsid w:val="00B973EE"/>
    <w:rsid w:val="00BA0FD8"/>
    <w:rsid w:val="00BA16C0"/>
    <w:rsid w:val="00BA2280"/>
    <w:rsid w:val="00BA2A08"/>
    <w:rsid w:val="00BA2AC2"/>
    <w:rsid w:val="00BA4384"/>
    <w:rsid w:val="00BA4AA8"/>
    <w:rsid w:val="00BA56D2"/>
    <w:rsid w:val="00BA65AD"/>
    <w:rsid w:val="00BA76E0"/>
    <w:rsid w:val="00BB0E59"/>
    <w:rsid w:val="00BB162A"/>
    <w:rsid w:val="00BB1DC1"/>
    <w:rsid w:val="00BB2A25"/>
    <w:rsid w:val="00BB433F"/>
    <w:rsid w:val="00BB471A"/>
    <w:rsid w:val="00BB5024"/>
    <w:rsid w:val="00BB51E9"/>
    <w:rsid w:val="00BB71D4"/>
    <w:rsid w:val="00BC016F"/>
    <w:rsid w:val="00BC0760"/>
    <w:rsid w:val="00BC0FDC"/>
    <w:rsid w:val="00BC12C1"/>
    <w:rsid w:val="00BC2674"/>
    <w:rsid w:val="00BC3053"/>
    <w:rsid w:val="00BC3D39"/>
    <w:rsid w:val="00BC3ED4"/>
    <w:rsid w:val="00BC484B"/>
    <w:rsid w:val="00BC48CB"/>
    <w:rsid w:val="00BC4D16"/>
    <w:rsid w:val="00BC4D2E"/>
    <w:rsid w:val="00BC552F"/>
    <w:rsid w:val="00BC5E00"/>
    <w:rsid w:val="00BC6343"/>
    <w:rsid w:val="00BC6A4F"/>
    <w:rsid w:val="00BC714C"/>
    <w:rsid w:val="00BD151B"/>
    <w:rsid w:val="00BD28E3"/>
    <w:rsid w:val="00BD35F8"/>
    <w:rsid w:val="00BD48AC"/>
    <w:rsid w:val="00BD50FE"/>
    <w:rsid w:val="00BD52AB"/>
    <w:rsid w:val="00BD5F1A"/>
    <w:rsid w:val="00BD6040"/>
    <w:rsid w:val="00BD63CA"/>
    <w:rsid w:val="00BD7FD7"/>
    <w:rsid w:val="00BE1234"/>
    <w:rsid w:val="00BE1435"/>
    <w:rsid w:val="00BE291B"/>
    <w:rsid w:val="00BE2AC6"/>
    <w:rsid w:val="00BE2FA6"/>
    <w:rsid w:val="00BE30D7"/>
    <w:rsid w:val="00BE322B"/>
    <w:rsid w:val="00BE333F"/>
    <w:rsid w:val="00BE3A4F"/>
    <w:rsid w:val="00BE3A55"/>
    <w:rsid w:val="00BE4275"/>
    <w:rsid w:val="00BE531C"/>
    <w:rsid w:val="00BE55E0"/>
    <w:rsid w:val="00BE65A4"/>
    <w:rsid w:val="00BE66EE"/>
    <w:rsid w:val="00BE7406"/>
    <w:rsid w:val="00BE7603"/>
    <w:rsid w:val="00BF00E1"/>
    <w:rsid w:val="00BF2855"/>
    <w:rsid w:val="00BF2F9D"/>
    <w:rsid w:val="00BF3279"/>
    <w:rsid w:val="00BF3FF1"/>
    <w:rsid w:val="00BF6199"/>
    <w:rsid w:val="00BF74C7"/>
    <w:rsid w:val="00BF7744"/>
    <w:rsid w:val="00BF7A58"/>
    <w:rsid w:val="00C006EF"/>
    <w:rsid w:val="00C00AB3"/>
    <w:rsid w:val="00C00E71"/>
    <w:rsid w:val="00C00F0E"/>
    <w:rsid w:val="00C015F1"/>
    <w:rsid w:val="00C01F33"/>
    <w:rsid w:val="00C01F8D"/>
    <w:rsid w:val="00C02CC6"/>
    <w:rsid w:val="00C030A9"/>
    <w:rsid w:val="00C0331C"/>
    <w:rsid w:val="00C03CA8"/>
    <w:rsid w:val="00C040F7"/>
    <w:rsid w:val="00C044AB"/>
    <w:rsid w:val="00C05313"/>
    <w:rsid w:val="00C05706"/>
    <w:rsid w:val="00C062D0"/>
    <w:rsid w:val="00C07117"/>
    <w:rsid w:val="00C07377"/>
    <w:rsid w:val="00C076E9"/>
    <w:rsid w:val="00C10478"/>
    <w:rsid w:val="00C10E5E"/>
    <w:rsid w:val="00C118ED"/>
    <w:rsid w:val="00C12107"/>
    <w:rsid w:val="00C132AB"/>
    <w:rsid w:val="00C13819"/>
    <w:rsid w:val="00C149F5"/>
    <w:rsid w:val="00C14D4B"/>
    <w:rsid w:val="00C154BB"/>
    <w:rsid w:val="00C159C0"/>
    <w:rsid w:val="00C1765A"/>
    <w:rsid w:val="00C17F98"/>
    <w:rsid w:val="00C203E7"/>
    <w:rsid w:val="00C20463"/>
    <w:rsid w:val="00C209F1"/>
    <w:rsid w:val="00C21B55"/>
    <w:rsid w:val="00C21EB5"/>
    <w:rsid w:val="00C2200B"/>
    <w:rsid w:val="00C23644"/>
    <w:rsid w:val="00C23BB1"/>
    <w:rsid w:val="00C24247"/>
    <w:rsid w:val="00C257BC"/>
    <w:rsid w:val="00C257FA"/>
    <w:rsid w:val="00C268E6"/>
    <w:rsid w:val="00C26A91"/>
    <w:rsid w:val="00C279B5"/>
    <w:rsid w:val="00C27C45"/>
    <w:rsid w:val="00C32154"/>
    <w:rsid w:val="00C33746"/>
    <w:rsid w:val="00C34275"/>
    <w:rsid w:val="00C3486E"/>
    <w:rsid w:val="00C34BF8"/>
    <w:rsid w:val="00C35468"/>
    <w:rsid w:val="00C36521"/>
    <w:rsid w:val="00C367BA"/>
    <w:rsid w:val="00C3719D"/>
    <w:rsid w:val="00C37CB2"/>
    <w:rsid w:val="00C40848"/>
    <w:rsid w:val="00C40869"/>
    <w:rsid w:val="00C408DA"/>
    <w:rsid w:val="00C40C96"/>
    <w:rsid w:val="00C41966"/>
    <w:rsid w:val="00C42B2D"/>
    <w:rsid w:val="00C45125"/>
    <w:rsid w:val="00C473A5"/>
    <w:rsid w:val="00C47D8F"/>
    <w:rsid w:val="00C50700"/>
    <w:rsid w:val="00C50DAE"/>
    <w:rsid w:val="00C50E07"/>
    <w:rsid w:val="00C51648"/>
    <w:rsid w:val="00C520ED"/>
    <w:rsid w:val="00C52847"/>
    <w:rsid w:val="00C52AFC"/>
    <w:rsid w:val="00C53642"/>
    <w:rsid w:val="00C53C29"/>
    <w:rsid w:val="00C546E9"/>
    <w:rsid w:val="00C54995"/>
    <w:rsid w:val="00C54D41"/>
    <w:rsid w:val="00C55296"/>
    <w:rsid w:val="00C56109"/>
    <w:rsid w:val="00C60783"/>
    <w:rsid w:val="00C612AA"/>
    <w:rsid w:val="00C616B7"/>
    <w:rsid w:val="00C6214A"/>
    <w:rsid w:val="00C64672"/>
    <w:rsid w:val="00C65CAC"/>
    <w:rsid w:val="00C67246"/>
    <w:rsid w:val="00C70296"/>
    <w:rsid w:val="00C70697"/>
    <w:rsid w:val="00C72093"/>
    <w:rsid w:val="00C72E43"/>
    <w:rsid w:val="00C72EF4"/>
    <w:rsid w:val="00C72FEB"/>
    <w:rsid w:val="00C73358"/>
    <w:rsid w:val="00C744FE"/>
    <w:rsid w:val="00C74772"/>
    <w:rsid w:val="00C75D2F"/>
    <w:rsid w:val="00C767BE"/>
    <w:rsid w:val="00C768D4"/>
    <w:rsid w:val="00C768DE"/>
    <w:rsid w:val="00C76E3C"/>
    <w:rsid w:val="00C80B5E"/>
    <w:rsid w:val="00C80BB6"/>
    <w:rsid w:val="00C80C82"/>
    <w:rsid w:val="00C811CE"/>
    <w:rsid w:val="00C81568"/>
    <w:rsid w:val="00C825A8"/>
    <w:rsid w:val="00C82A94"/>
    <w:rsid w:val="00C83ACB"/>
    <w:rsid w:val="00C83DAD"/>
    <w:rsid w:val="00C86B61"/>
    <w:rsid w:val="00C87ED0"/>
    <w:rsid w:val="00C9027A"/>
    <w:rsid w:val="00C9068E"/>
    <w:rsid w:val="00C90D8A"/>
    <w:rsid w:val="00C91A6E"/>
    <w:rsid w:val="00C92EBD"/>
    <w:rsid w:val="00C93814"/>
    <w:rsid w:val="00C93C4B"/>
    <w:rsid w:val="00C944AB"/>
    <w:rsid w:val="00C948E8"/>
    <w:rsid w:val="00C94D2F"/>
    <w:rsid w:val="00C95418"/>
    <w:rsid w:val="00C95993"/>
    <w:rsid w:val="00C95B40"/>
    <w:rsid w:val="00C961C0"/>
    <w:rsid w:val="00C96EF6"/>
    <w:rsid w:val="00CA0309"/>
    <w:rsid w:val="00CA1D6C"/>
    <w:rsid w:val="00CA1ED8"/>
    <w:rsid w:val="00CA34D9"/>
    <w:rsid w:val="00CA4EAB"/>
    <w:rsid w:val="00CA5D4C"/>
    <w:rsid w:val="00CA6C55"/>
    <w:rsid w:val="00CA6FDF"/>
    <w:rsid w:val="00CA704C"/>
    <w:rsid w:val="00CB0978"/>
    <w:rsid w:val="00CB0B5D"/>
    <w:rsid w:val="00CB1F63"/>
    <w:rsid w:val="00CB264B"/>
    <w:rsid w:val="00CB44CE"/>
    <w:rsid w:val="00CB4DBB"/>
    <w:rsid w:val="00CB5DA9"/>
    <w:rsid w:val="00CB63CF"/>
    <w:rsid w:val="00CB7170"/>
    <w:rsid w:val="00CB7B5A"/>
    <w:rsid w:val="00CB7C81"/>
    <w:rsid w:val="00CC040E"/>
    <w:rsid w:val="00CC1068"/>
    <w:rsid w:val="00CC111F"/>
    <w:rsid w:val="00CC1E76"/>
    <w:rsid w:val="00CC2011"/>
    <w:rsid w:val="00CC20AE"/>
    <w:rsid w:val="00CC21C3"/>
    <w:rsid w:val="00CC2F9F"/>
    <w:rsid w:val="00CC3102"/>
    <w:rsid w:val="00CC35E5"/>
    <w:rsid w:val="00CC3DEA"/>
    <w:rsid w:val="00CC3EA0"/>
    <w:rsid w:val="00CC3F07"/>
    <w:rsid w:val="00CC5158"/>
    <w:rsid w:val="00CC51BF"/>
    <w:rsid w:val="00CC540C"/>
    <w:rsid w:val="00CC5903"/>
    <w:rsid w:val="00CC5E55"/>
    <w:rsid w:val="00CC6F41"/>
    <w:rsid w:val="00CC6FE7"/>
    <w:rsid w:val="00CC7B45"/>
    <w:rsid w:val="00CC7B4C"/>
    <w:rsid w:val="00CD0182"/>
    <w:rsid w:val="00CD036A"/>
    <w:rsid w:val="00CD1188"/>
    <w:rsid w:val="00CD15B2"/>
    <w:rsid w:val="00CD2ED1"/>
    <w:rsid w:val="00CD31F9"/>
    <w:rsid w:val="00CD337B"/>
    <w:rsid w:val="00CD34C7"/>
    <w:rsid w:val="00CD37BA"/>
    <w:rsid w:val="00CD4990"/>
    <w:rsid w:val="00CD4D97"/>
    <w:rsid w:val="00CD6694"/>
    <w:rsid w:val="00CD66DC"/>
    <w:rsid w:val="00CD6A61"/>
    <w:rsid w:val="00CD7F24"/>
    <w:rsid w:val="00CE0424"/>
    <w:rsid w:val="00CE4BD6"/>
    <w:rsid w:val="00CE61B7"/>
    <w:rsid w:val="00CE68E0"/>
    <w:rsid w:val="00CE7561"/>
    <w:rsid w:val="00CE7634"/>
    <w:rsid w:val="00CF0D87"/>
    <w:rsid w:val="00CF0E8F"/>
    <w:rsid w:val="00CF10C4"/>
    <w:rsid w:val="00CF1354"/>
    <w:rsid w:val="00CF1B1A"/>
    <w:rsid w:val="00CF1F82"/>
    <w:rsid w:val="00CF2ADC"/>
    <w:rsid w:val="00CF357B"/>
    <w:rsid w:val="00CF385B"/>
    <w:rsid w:val="00CF3875"/>
    <w:rsid w:val="00CF3B1F"/>
    <w:rsid w:val="00CF3BF6"/>
    <w:rsid w:val="00CF625B"/>
    <w:rsid w:val="00CF687E"/>
    <w:rsid w:val="00CF7569"/>
    <w:rsid w:val="00D02644"/>
    <w:rsid w:val="00D0349B"/>
    <w:rsid w:val="00D03E23"/>
    <w:rsid w:val="00D03ECF"/>
    <w:rsid w:val="00D05894"/>
    <w:rsid w:val="00D059B7"/>
    <w:rsid w:val="00D10249"/>
    <w:rsid w:val="00D115C3"/>
    <w:rsid w:val="00D11897"/>
    <w:rsid w:val="00D12CFB"/>
    <w:rsid w:val="00D13135"/>
    <w:rsid w:val="00D13385"/>
    <w:rsid w:val="00D13ADC"/>
    <w:rsid w:val="00D13E4E"/>
    <w:rsid w:val="00D16AC1"/>
    <w:rsid w:val="00D1761E"/>
    <w:rsid w:val="00D214D3"/>
    <w:rsid w:val="00D21E67"/>
    <w:rsid w:val="00D22475"/>
    <w:rsid w:val="00D23057"/>
    <w:rsid w:val="00D239A7"/>
    <w:rsid w:val="00D23F47"/>
    <w:rsid w:val="00D24451"/>
    <w:rsid w:val="00D24F6E"/>
    <w:rsid w:val="00D25AF7"/>
    <w:rsid w:val="00D25B7E"/>
    <w:rsid w:val="00D25EB6"/>
    <w:rsid w:val="00D26335"/>
    <w:rsid w:val="00D27E90"/>
    <w:rsid w:val="00D32641"/>
    <w:rsid w:val="00D32B2F"/>
    <w:rsid w:val="00D32FC8"/>
    <w:rsid w:val="00D3463A"/>
    <w:rsid w:val="00D3484B"/>
    <w:rsid w:val="00D354AA"/>
    <w:rsid w:val="00D355A7"/>
    <w:rsid w:val="00D36E71"/>
    <w:rsid w:val="00D37285"/>
    <w:rsid w:val="00D37918"/>
    <w:rsid w:val="00D37D87"/>
    <w:rsid w:val="00D40B33"/>
    <w:rsid w:val="00D4125A"/>
    <w:rsid w:val="00D41686"/>
    <w:rsid w:val="00D418B8"/>
    <w:rsid w:val="00D427DD"/>
    <w:rsid w:val="00D4318F"/>
    <w:rsid w:val="00D438BF"/>
    <w:rsid w:val="00D43C83"/>
    <w:rsid w:val="00D43D80"/>
    <w:rsid w:val="00D440F8"/>
    <w:rsid w:val="00D44347"/>
    <w:rsid w:val="00D44928"/>
    <w:rsid w:val="00D4562F"/>
    <w:rsid w:val="00D515FB"/>
    <w:rsid w:val="00D517CA"/>
    <w:rsid w:val="00D51B8B"/>
    <w:rsid w:val="00D5350C"/>
    <w:rsid w:val="00D54243"/>
    <w:rsid w:val="00D546FF"/>
    <w:rsid w:val="00D55855"/>
    <w:rsid w:val="00D55AD5"/>
    <w:rsid w:val="00D57023"/>
    <w:rsid w:val="00D576CA"/>
    <w:rsid w:val="00D57704"/>
    <w:rsid w:val="00D60809"/>
    <w:rsid w:val="00D61AF5"/>
    <w:rsid w:val="00D623D8"/>
    <w:rsid w:val="00D62686"/>
    <w:rsid w:val="00D62B7F"/>
    <w:rsid w:val="00D62C19"/>
    <w:rsid w:val="00D62E57"/>
    <w:rsid w:val="00D6318C"/>
    <w:rsid w:val="00D63452"/>
    <w:rsid w:val="00D638EA"/>
    <w:rsid w:val="00D6417E"/>
    <w:rsid w:val="00D643F7"/>
    <w:rsid w:val="00D652B5"/>
    <w:rsid w:val="00D65307"/>
    <w:rsid w:val="00D65BD9"/>
    <w:rsid w:val="00D66060"/>
    <w:rsid w:val="00D66155"/>
    <w:rsid w:val="00D679DF"/>
    <w:rsid w:val="00D70488"/>
    <w:rsid w:val="00D708B0"/>
    <w:rsid w:val="00D72C1B"/>
    <w:rsid w:val="00D72C2B"/>
    <w:rsid w:val="00D73613"/>
    <w:rsid w:val="00D737B5"/>
    <w:rsid w:val="00D741F2"/>
    <w:rsid w:val="00D74246"/>
    <w:rsid w:val="00D743ED"/>
    <w:rsid w:val="00D745E7"/>
    <w:rsid w:val="00D747C1"/>
    <w:rsid w:val="00D757E2"/>
    <w:rsid w:val="00D75A23"/>
    <w:rsid w:val="00D763F7"/>
    <w:rsid w:val="00D766F9"/>
    <w:rsid w:val="00D77520"/>
    <w:rsid w:val="00D77B1D"/>
    <w:rsid w:val="00D77DDF"/>
    <w:rsid w:val="00D8021F"/>
    <w:rsid w:val="00D80383"/>
    <w:rsid w:val="00D80961"/>
    <w:rsid w:val="00D80C25"/>
    <w:rsid w:val="00D823C6"/>
    <w:rsid w:val="00D828CC"/>
    <w:rsid w:val="00D82941"/>
    <w:rsid w:val="00D8327F"/>
    <w:rsid w:val="00D83A6F"/>
    <w:rsid w:val="00D83D12"/>
    <w:rsid w:val="00D83D25"/>
    <w:rsid w:val="00D85A11"/>
    <w:rsid w:val="00D85A59"/>
    <w:rsid w:val="00D85CF5"/>
    <w:rsid w:val="00D8645E"/>
    <w:rsid w:val="00D867B9"/>
    <w:rsid w:val="00D86CA3"/>
    <w:rsid w:val="00D871CE"/>
    <w:rsid w:val="00D878AC"/>
    <w:rsid w:val="00D87FAC"/>
    <w:rsid w:val="00D909BD"/>
    <w:rsid w:val="00D9196D"/>
    <w:rsid w:val="00D91A59"/>
    <w:rsid w:val="00D92982"/>
    <w:rsid w:val="00D94800"/>
    <w:rsid w:val="00D949FB"/>
    <w:rsid w:val="00D95E0A"/>
    <w:rsid w:val="00D979F9"/>
    <w:rsid w:val="00DA0CD6"/>
    <w:rsid w:val="00DA11CD"/>
    <w:rsid w:val="00DA1207"/>
    <w:rsid w:val="00DA27DF"/>
    <w:rsid w:val="00DA305E"/>
    <w:rsid w:val="00DA3C5D"/>
    <w:rsid w:val="00DA4001"/>
    <w:rsid w:val="00DA4220"/>
    <w:rsid w:val="00DA5417"/>
    <w:rsid w:val="00DA56E8"/>
    <w:rsid w:val="00DA6414"/>
    <w:rsid w:val="00DA6ACA"/>
    <w:rsid w:val="00DA7244"/>
    <w:rsid w:val="00DA7F67"/>
    <w:rsid w:val="00DB0346"/>
    <w:rsid w:val="00DB0A9F"/>
    <w:rsid w:val="00DB1116"/>
    <w:rsid w:val="00DB1267"/>
    <w:rsid w:val="00DB29AF"/>
    <w:rsid w:val="00DB3043"/>
    <w:rsid w:val="00DB377D"/>
    <w:rsid w:val="00DB3AF1"/>
    <w:rsid w:val="00DB4012"/>
    <w:rsid w:val="00DB4364"/>
    <w:rsid w:val="00DB528E"/>
    <w:rsid w:val="00DC1477"/>
    <w:rsid w:val="00DC2D36"/>
    <w:rsid w:val="00DC43D2"/>
    <w:rsid w:val="00DC4529"/>
    <w:rsid w:val="00DC53EF"/>
    <w:rsid w:val="00DC5457"/>
    <w:rsid w:val="00DC6504"/>
    <w:rsid w:val="00DC6706"/>
    <w:rsid w:val="00DC7074"/>
    <w:rsid w:val="00DC73B3"/>
    <w:rsid w:val="00DC73C1"/>
    <w:rsid w:val="00DC754B"/>
    <w:rsid w:val="00DC78E4"/>
    <w:rsid w:val="00DD1557"/>
    <w:rsid w:val="00DD196E"/>
    <w:rsid w:val="00DD19CB"/>
    <w:rsid w:val="00DD2757"/>
    <w:rsid w:val="00DD2A57"/>
    <w:rsid w:val="00DD62A2"/>
    <w:rsid w:val="00DD79D3"/>
    <w:rsid w:val="00DE07A5"/>
    <w:rsid w:val="00DE1001"/>
    <w:rsid w:val="00DE1420"/>
    <w:rsid w:val="00DE1A16"/>
    <w:rsid w:val="00DE1FE4"/>
    <w:rsid w:val="00DE2910"/>
    <w:rsid w:val="00DE44B5"/>
    <w:rsid w:val="00DE5510"/>
    <w:rsid w:val="00DE5608"/>
    <w:rsid w:val="00DE58D0"/>
    <w:rsid w:val="00DE5CB2"/>
    <w:rsid w:val="00DE654F"/>
    <w:rsid w:val="00DE6936"/>
    <w:rsid w:val="00DF0B6E"/>
    <w:rsid w:val="00DF15E0"/>
    <w:rsid w:val="00DF1A7A"/>
    <w:rsid w:val="00DF1D42"/>
    <w:rsid w:val="00DF2FF7"/>
    <w:rsid w:val="00DF3654"/>
    <w:rsid w:val="00DF37A0"/>
    <w:rsid w:val="00DF4A7C"/>
    <w:rsid w:val="00DF4D7A"/>
    <w:rsid w:val="00DF4E91"/>
    <w:rsid w:val="00DF58DD"/>
    <w:rsid w:val="00DF65BA"/>
    <w:rsid w:val="00E003CA"/>
    <w:rsid w:val="00E00ED7"/>
    <w:rsid w:val="00E010B0"/>
    <w:rsid w:val="00E0191B"/>
    <w:rsid w:val="00E0306A"/>
    <w:rsid w:val="00E03377"/>
    <w:rsid w:val="00E03AA3"/>
    <w:rsid w:val="00E04762"/>
    <w:rsid w:val="00E06C72"/>
    <w:rsid w:val="00E07090"/>
    <w:rsid w:val="00E07210"/>
    <w:rsid w:val="00E07810"/>
    <w:rsid w:val="00E07C08"/>
    <w:rsid w:val="00E07DDC"/>
    <w:rsid w:val="00E104BD"/>
    <w:rsid w:val="00E110E7"/>
    <w:rsid w:val="00E11B20"/>
    <w:rsid w:val="00E12516"/>
    <w:rsid w:val="00E12761"/>
    <w:rsid w:val="00E128A4"/>
    <w:rsid w:val="00E13B45"/>
    <w:rsid w:val="00E149AB"/>
    <w:rsid w:val="00E14DF5"/>
    <w:rsid w:val="00E14EDA"/>
    <w:rsid w:val="00E17FA2"/>
    <w:rsid w:val="00E213B2"/>
    <w:rsid w:val="00E219F4"/>
    <w:rsid w:val="00E22330"/>
    <w:rsid w:val="00E239E8"/>
    <w:rsid w:val="00E24748"/>
    <w:rsid w:val="00E2475B"/>
    <w:rsid w:val="00E2527E"/>
    <w:rsid w:val="00E2609E"/>
    <w:rsid w:val="00E2627C"/>
    <w:rsid w:val="00E267A6"/>
    <w:rsid w:val="00E278CF"/>
    <w:rsid w:val="00E30B5A"/>
    <w:rsid w:val="00E30C3F"/>
    <w:rsid w:val="00E3123D"/>
    <w:rsid w:val="00E31455"/>
    <w:rsid w:val="00E31461"/>
    <w:rsid w:val="00E31896"/>
    <w:rsid w:val="00E3193D"/>
    <w:rsid w:val="00E31D43"/>
    <w:rsid w:val="00E32608"/>
    <w:rsid w:val="00E32C26"/>
    <w:rsid w:val="00E33409"/>
    <w:rsid w:val="00E34188"/>
    <w:rsid w:val="00E34B0F"/>
    <w:rsid w:val="00E34B6E"/>
    <w:rsid w:val="00E35559"/>
    <w:rsid w:val="00E35806"/>
    <w:rsid w:val="00E36B10"/>
    <w:rsid w:val="00E371EB"/>
    <w:rsid w:val="00E3723A"/>
    <w:rsid w:val="00E37860"/>
    <w:rsid w:val="00E37AB8"/>
    <w:rsid w:val="00E40E78"/>
    <w:rsid w:val="00E41092"/>
    <w:rsid w:val="00E41719"/>
    <w:rsid w:val="00E43A59"/>
    <w:rsid w:val="00E446F1"/>
    <w:rsid w:val="00E44D64"/>
    <w:rsid w:val="00E46886"/>
    <w:rsid w:val="00E47AEF"/>
    <w:rsid w:val="00E50A16"/>
    <w:rsid w:val="00E534BB"/>
    <w:rsid w:val="00E539E2"/>
    <w:rsid w:val="00E53B75"/>
    <w:rsid w:val="00E54E3B"/>
    <w:rsid w:val="00E55026"/>
    <w:rsid w:val="00E56E21"/>
    <w:rsid w:val="00E57060"/>
    <w:rsid w:val="00E57453"/>
    <w:rsid w:val="00E57565"/>
    <w:rsid w:val="00E601D8"/>
    <w:rsid w:val="00E6056F"/>
    <w:rsid w:val="00E60A4A"/>
    <w:rsid w:val="00E6183F"/>
    <w:rsid w:val="00E63838"/>
    <w:rsid w:val="00E63E3E"/>
    <w:rsid w:val="00E64434"/>
    <w:rsid w:val="00E6502F"/>
    <w:rsid w:val="00E67C51"/>
    <w:rsid w:val="00E70387"/>
    <w:rsid w:val="00E70FD2"/>
    <w:rsid w:val="00E717CB"/>
    <w:rsid w:val="00E71CE8"/>
    <w:rsid w:val="00E724A0"/>
    <w:rsid w:val="00E72EFC"/>
    <w:rsid w:val="00E74022"/>
    <w:rsid w:val="00E74605"/>
    <w:rsid w:val="00E74B3D"/>
    <w:rsid w:val="00E758EC"/>
    <w:rsid w:val="00E76CEF"/>
    <w:rsid w:val="00E76F39"/>
    <w:rsid w:val="00E807E5"/>
    <w:rsid w:val="00E80CA3"/>
    <w:rsid w:val="00E81EA8"/>
    <w:rsid w:val="00E8234C"/>
    <w:rsid w:val="00E83AA9"/>
    <w:rsid w:val="00E83C72"/>
    <w:rsid w:val="00E84BC2"/>
    <w:rsid w:val="00E85928"/>
    <w:rsid w:val="00E85E5F"/>
    <w:rsid w:val="00E8610A"/>
    <w:rsid w:val="00E86329"/>
    <w:rsid w:val="00E86A54"/>
    <w:rsid w:val="00E86C50"/>
    <w:rsid w:val="00E87822"/>
    <w:rsid w:val="00E87EBA"/>
    <w:rsid w:val="00E9011E"/>
    <w:rsid w:val="00E90395"/>
    <w:rsid w:val="00E904CF"/>
    <w:rsid w:val="00E90AE0"/>
    <w:rsid w:val="00E90E49"/>
    <w:rsid w:val="00E917F9"/>
    <w:rsid w:val="00E9291C"/>
    <w:rsid w:val="00E9363D"/>
    <w:rsid w:val="00E93843"/>
    <w:rsid w:val="00E93FFE"/>
    <w:rsid w:val="00E9423A"/>
    <w:rsid w:val="00E94F8A"/>
    <w:rsid w:val="00E951DF"/>
    <w:rsid w:val="00E95768"/>
    <w:rsid w:val="00E97381"/>
    <w:rsid w:val="00E979FF"/>
    <w:rsid w:val="00E97B53"/>
    <w:rsid w:val="00EA0B20"/>
    <w:rsid w:val="00EA0C87"/>
    <w:rsid w:val="00EA1C48"/>
    <w:rsid w:val="00EA2B88"/>
    <w:rsid w:val="00EA322E"/>
    <w:rsid w:val="00EA34D5"/>
    <w:rsid w:val="00EA4EA0"/>
    <w:rsid w:val="00EA52EB"/>
    <w:rsid w:val="00EA5ECE"/>
    <w:rsid w:val="00EA64CC"/>
    <w:rsid w:val="00EA6D14"/>
    <w:rsid w:val="00EA71DA"/>
    <w:rsid w:val="00EA7A41"/>
    <w:rsid w:val="00EB0154"/>
    <w:rsid w:val="00EB077B"/>
    <w:rsid w:val="00EB088D"/>
    <w:rsid w:val="00EB0E20"/>
    <w:rsid w:val="00EB242D"/>
    <w:rsid w:val="00EB26E8"/>
    <w:rsid w:val="00EB3685"/>
    <w:rsid w:val="00EB45D8"/>
    <w:rsid w:val="00EB4EA2"/>
    <w:rsid w:val="00EB4F32"/>
    <w:rsid w:val="00EB61C7"/>
    <w:rsid w:val="00EB6A9B"/>
    <w:rsid w:val="00EB7054"/>
    <w:rsid w:val="00EB70A9"/>
    <w:rsid w:val="00EC05B5"/>
    <w:rsid w:val="00EC066F"/>
    <w:rsid w:val="00EC0F4B"/>
    <w:rsid w:val="00EC12B7"/>
    <w:rsid w:val="00EC1A0E"/>
    <w:rsid w:val="00EC24D5"/>
    <w:rsid w:val="00EC27C6"/>
    <w:rsid w:val="00EC2901"/>
    <w:rsid w:val="00EC2E11"/>
    <w:rsid w:val="00EC326B"/>
    <w:rsid w:val="00EC4207"/>
    <w:rsid w:val="00EC4CA0"/>
    <w:rsid w:val="00EC4EC2"/>
    <w:rsid w:val="00EC5653"/>
    <w:rsid w:val="00EC60CC"/>
    <w:rsid w:val="00EC661B"/>
    <w:rsid w:val="00EC6880"/>
    <w:rsid w:val="00EC71CE"/>
    <w:rsid w:val="00EC7262"/>
    <w:rsid w:val="00EC7A25"/>
    <w:rsid w:val="00ED0D7C"/>
    <w:rsid w:val="00ED1006"/>
    <w:rsid w:val="00ED2559"/>
    <w:rsid w:val="00ED3B5C"/>
    <w:rsid w:val="00ED4CF6"/>
    <w:rsid w:val="00ED645F"/>
    <w:rsid w:val="00ED69AA"/>
    <w:rsid w:val="00ED74F2"/>
    <w:rsid w:val="00ED79E0"/>
    <w:rsid w:val="00ED7A8C"/>
    <w:rsid w:val="00ED7C48"/>
    <w:rsid w:val="00EE028D"/>
    <w:rsid w:val="00EE0306"/>
    <w:rsid w:val="00EE06A0"/>
    <w:rsid w:val="00EE082E"/>
    <w:rsid w:val="00EE0EA2"/>
    <w:rsid w:val="00EE28AA"/>
    <w:rsid w:val="00EE39FC"/>
    <w:rsid w:val="00EE49CD"/>
    <w:rsid w:val="00EE54A1"/>
    <w:rsid w:val="00EE5CA1"/>
    <w:rsid w:val="00EE676E"/>
    <w:rsid w:val="00EE6B8A"/>
    <w:rsid w:val="00EE6F02"/>
    <w:rsid w:val="00EF18FE"/>
    <w:rsid w:val="00EF21AA"/>
    <w:rsid w:val="00EF2418"/>
    <w:rsid w:val="00EF5174"/>
    <w:rsid w:val="00EF5787"/>
    <w:rsid w:val="00EF59E4"/>
    <w:rsid w:val="00EF60D0"/>
    <w:rsid w:val="00EF6A8A"/>
    <w:rsid w:val="00EF7255"/>
    <w:rsid w:val="00EF7CBF"/>
    <w:rsid w:val="00F00490"/>
    <w:rsid w:val="00F00631"/>
    <w:rsid w:val="00F01307"/>
    <w:rsid w:val="00F01AD7"/>
    <w:rsid w:val="00F02DF2"/>
    <w:rsid w:val="00F05142"/>
    <w:rsid w:val="00F0524D"/>
    <w:rsid w:val="00F0528D"/>
    <w:rsid w:val="00F0570E"/>
    <w:rsid w:val="00F05900"/>
    <w:rsid w:val="00F06C67"/>
    <w:rsid w:val="00F06DFD"/>
    <w:rsid w:val="00F071D1"/>
    <w:rsid w:val="00F073EB"/>
    <w:rsid w:val="00F07533"/>
    <w:rsid w:val="00F077FC"/>
    <w:rsid w:val="00F10629"/>
    <w:rsid w:val="00F13341"/>
    <w:rsid w:val="00F1419C"/>
    <w:rsid w:val="00F149D0"/>
    <w:rsid w:val="00F15144"/>
    <w:rsid w:val="00F15AF2"/>
    <w:rsid w:val="00F15FA5"/>
    <w:rsid w:val="00F16990"/>
    <w:rsid w:val="00F17166"/>
    <w:rsid w:val="00F209B7"/>
    <w:rsid w:val="00F20AE0"/>
    <w:rsid w:val="00F20CD8"/>
    <w:rsid w:val="00F20D1B"/>
    <w:rsid w:val="00F20ECC"/>
    <w:rsid w:val="00F20F5C"/>
    <w:rsid w:val="00F21A02"/>
    <w:rsid w:val="00F2220D"/>
    <w:rsid w:val="00F22229"/>
    <w:rsid w:val="00F22A3A"/>
    <w:rsid w:val="00F22D7A"/>
    <w:rsid w:val="00F23700"/>
    <w:rsid w:val="00F2376F"/>
    <w:rsid w:val="00F243D8"/>
    <w:rsid w:val="00F27275"/>
    <w:rsid w:val="00F27E35"/>
    <w:rsid w:val="00F30828"/>
    <w:rsid w:val="00F30ACE"/>
    <w:rsid w:val="00F30D82"/>
    <w:rsid w:val="00F30F74"/>
    <w:rsid w:val="00F313D6"/>
    <w:rsid w:val="00F3221B"/>
    <w:rsid w:val="00F32CB7"/>
    <w:rsid w:val="00F32D88"/>
    <w:rsid w:val="00F334B1"/>
    <w:rsid w:val="00F33F31"/>
    <w:rsid w:val="00F348AE"/>
    <w:rsid w:val="00F36552"/>
    <w:rsid w:val="00F370BB"/>
    <w:rsid w:val="00F37377"/>
    <w:rsid w:val="00F37E44"/>
    <w:rsid w:val="00F40435"/>
    <w:rsid w:val="00F40952"/>
    <w:rsid w:val="00F40F0C"/>
    <w:rsid w:val="00F419A9"/>
    <w:rsid w:val="00F42C33"/>
    <w:rsid w:val="00F42DC4"/>
    <w:rsid w:val="00F44734"/>
    <w:rsid w:val="00F448F0"/>
    <w:rsid w:val="00F45FCB"/>
    <w:rsid w:val="00F46C99"/>
    <w:rsid w:val="00F473B7"/>
    <w:rsid w:val="00F4766C"/>
    <w:rsid w:val="00F5060E"/>
    <w:rsid w:val="00F507D1"/>
    <w:rsid w:val="00F50D36"/>
    <w:rsid w:val="00F51330"/>
    <w:rsid w:val="00F5196A"/>
    <w:rsid w:val="00F519CE"/>
    <w:rsid w:val="00F51ADA"/>
    <w:rsid w:val="00F523CA"/>
    <w:rsid w:val="00F52429"/>
    <w:rsid w:val="00F5300F"/>
    <w:rsid w:val="00F533E3"/>
    <w:rsid w:val="00F5368F"/>
    <w:rsid w:val="00F536EC"/>
    <w:rsid w:val="00F5376B"/>
    <w:rsid w:val="00F555ED"/>
    <w:rsid w:val="00F55A81"/>
    <w:rsid w:val="00F55BB5"/>
    <w:rsid w:val="00F561AF"/>
    <w:rsid w:val="00F57DC1"/>
    <w:rsid w:val="00F60203"/>
    <w:rsid w:val="00F607C5"/>
    <w:rsid w:val="00F60DEA"/>
    <w:rsid w:val="00F61562"/>
    <w:rsid w:val="00F61AC6"/>
    <w:rsid w:val="00F61CC0"/>
    <w:rsid w:val="00F6302A"/>
    <w:rsid w:val="00F63950"/>
    <w:rsid w:val="00F6442C"/>
    <w:rsid w:val="00F64893"/>
    <w:rsid w:val="00F64C2B"/>
    <w:rsid w:val="00F651BE"/>
    <w:rsid w:val="00F654DF"/>
    <w:rsid w:val="00F65712"/>
    <w:rsid w:val="00F66CEA"/>
    <w:rsid w:val="00F67868"/>
    <w:rsid w:val="00F67F53"/>
    <w:rsid w:val="00F703BE"/>
    <w:rsid w:val="00F704AC"/>
    <w:rsid w:val="00F70BCA"/>
    <w:rsid w:val="00F71670"/>
    <w:rsid w:val="00F71F69"/>
    <w:rsid w:val="00F72B72"/>
    <w:rsid w:val="00F737AA"/>
    <w:rsid w:val="00F73C7D"/>
    <w:rsid w:val="00F74BB9"/>
    <w:rsid w:val="00F74FB6"/>
    <w:rsid w:val="00F75582"/>
    <w:rsid w:val="00F767E4"/>
    <w:rsid w:val="00F76934"/>
    <w:rsid w:val="00F76EFA"/>
    <w:rsid w:val="00F804BE"/>
    <w:rsid w:val="00F815D8"/>
    <w:rsid w:val="00F817CE"/>
    <w:rsid w:val="00F81C3E"/>
    <w:rsid w:val="00F8271D"/>
    <w:rsid w:val="00F82AF3"/>
    <w:rsid w:val="00F82D1B"/>
    <w:rsid w:val="00F8367A"/>
    <w:rsid w:val="00F83DAB"/>
    <w:rsid w:val="00F8456C"/>
    <w:rsid w:val="00F84A91"/>
    <w:rsid w:val="00F84F62"/>
    <w:rsid w:val="00F857E9"/>
    <w:rsid w:val="00F859D8"/>
    <w:rsid w:val="00F86160"/>
    <w:rsid w:val="00F868F5"/>
    <w:rsid w:val="00F87C18"/>
    <w:rsid w:val="00F904D2"/>
    <w:rsid w:val="00F9056A"/>
    <w:rsid w:val="00F90AD4"/>
    <w:rsid w:val="00F90F8D"/>
    <w:rsid w:val="00F92782"/>
    <w:rsid w:val="00F93AA9"/>
    <w:rsid w:val="00F93DDD"/>
    <w:rsid w:val="00F940E2"/>
    <w:rsid w:val="00F946CB"/>
    <w:rsid w:val="00F948E6"/>
    <w:rsid w:val="00F959F9"/>
    <w:rsid w:val="00F96656"/>
    <w:rsid w:val="00F96985"/>
    <w:rsid w:val="00F96EA8"/>
    <w:rsid w:val="00F97308"/>
    <w:rsid w:val="00F97838"/>
    <w:rsid w:val="00FA088D"/>
    <w:rsid w:val="00FA1554"/>
    <w:rsid w:val="00FA1E84"/>
    <w:rsid w:val="00FA249B"/>
    <w:rsid w:val="00FA2550"/>
    <w:rsid w:val="00FA2BB3"/>
    <w:rsid w:val="00FA36C9"/>
    <w:rsid w:val="00FA3B55"/>
    <w:rsid w:val="00FA449F"/>
    <w:rsid w:val="00FA4B48"/>
    <w:rsid w:val="00FA5017"/>
    <w:rsid w:val="00FA5422"/>
    <w:rsid w:val="00FA5999"/>
    <w:rsid w:val="00FA64DA"/>
    <w:rsid w:val="00FA6C0E"/>
    <w:rsid w:val="00FA6E40"/>
    <w:rsid w:val="00FA710B"/>
    <w:rsid w:val="00FA771A"/>
    <w:rsid w:val="00FB0194"/>
    <w:rsid w:val="00FB1DEA"/>
    <w:rsid w:val="00FB20D4"/>
    <w:rsid w:val="00FB2393"/>
    <w:rsid w:val="00FB35A5"/>
    <w:rsid w:val="00FB3B55"/>
    <w:rsid w:val="00FB4C80"/>
    <w:rsid w:val="00FB4DC7"/>
    <w:rsid w:val="00FB50FF"/>
    <w:rsid w:val="00FB6344"/>
    <w:rsid w:val="00FB66E0"/>
    <w:rsid w:val="00FB6A6A"/>
    <w:rsid w:val="00FB79F5"/>
    <w:rsid w:val="00FC013B"/>
    <w:rsid w:val="00FC121F"/>
    <w:rsid w:val="00FC19C8"/>
    <w:rsid w:val="00FC21D7"/>
    <w:rsid w:val="00FC2200"/>
    <w:rsid w:val="00FC2ECA"/>
    <w:rsid w:val="00FC356B"/>
    <w:rsid w:val="00FC3CF0"/>
    <w:rsid w:val="00FC4636"/>
    <w:rsid w:val="00FC60BF"/>
    <w:rsid w:val="00FC649A"/>
    <w:rsid w:val="00FC6B7E"/>
    <w:rsid w:val="00FC6D84"/>
    <w:rsid w:val="00FC7429"/>
    <w:rsid w:val="00FD0362"/>
    <w:rsid w:val="00FD07F6"/>
    <w:rsid w:val="00FD1665"/>
    <w:rsid w:val="00FD1EC8"/>
    <w:rsid w:val="00FD2789"/>
    <w:rsid w:val="00FD3C97"/>
    <w:rsid w:val="00FD4574"/>
    <w:rsid w:val="00FD47ED"/>
    <w:rsid w:val="00FD4F87"/>
    <w:rsid w:val="00FD5288"/>
    <w:rsid w:val="00FD5983"/>
    <w:rsid w:val="00FD6E63"/>
    <w:rsid w:val="00FD725C"/>
    <w:rsid w:val="00FD74DB"/>
    <w:rsid w:val="00FD7660"/>
    <w:rsid w:val="00FD78B2"/>
    <w:rsid w:val="00FD792D"/>
    <w:rsid w:val="00FE0655"/>
    <w:rsid w:val="00FE067D"/>
    <w:rsid w:val="00FE073E"/>
    <w:rsid w:val="00FE07B0"/>
    <w:rsid w:val="00FE083F"/>
    <w:rsid w:val="00FE181C"/>
    <w:rsid w:val="00FE2365"/>
    <w:rsid w:val="00FE2C85"/>
    <w:rsid w:val="00FE2E9F"/>
    <w:rsid w:val="00FE37D7"/>
    <w:rsid w:val="00FE3EB2"/>
    <w:rsid w:val="00FE4C7B"/>
    <w:rsid w:val="00FE55BC"/>
    <w:rsid w:val="00FE56CE"/>
    <w:rsid w:val="00FE5BAE"/>
    <w:rsid w:val="00FE6D18"/>
    <w:rsid w:val="00FE7336"/>
    <w:rsid w:val="00FE740B"/>
    <w:rsid w:val="00FE7812"/>
    <w:rsid w:val="00FE787C"/>
    <w:rsid w:val="00FE7E63"/>
    <w:rsid w:val="00FF05FC"/>
    <w:rsid w:val="00FF175F"/>
    <w:rsid w:val="00FF2C0D"/>
    <w:rsid w:val="00FF346E"/>
    <w:rsid w:val="00FF424C"/>
    <w:rsid w:val="00FF45A5"/>
    <w:rsid w:val="00FF4D55"/>
    <w:rsid w:val="00FF5247"/>
    <w:rsid w:val="00FF5AAE"/>
    <w:rsid w:val="00FF5C91"/>
    <w:rsid w:val="00FF679A"/>
    <w:rsid w:val="00FF6F48"/>
    <w:rsid w:val="00FF76FC"/>
    <w:rsid w:val="2579DC75"/>
    <w:rsid w:val="25B5C7A9"/>
    <w:rsid w:val="37FD37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A92FFED9-5532-4DF2-9BC9-79090B934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A03D85"/>
    <w:rPr>
      <w:color w:val="2B579A"/>
      <w:shd w:val="clear" w:color="auto" w:fill="E1DFDD"/>
    </w:rPr>
  </w:style>
  <w:style w:type="paragraph" w:styleId="NormalWeb">
    <w:name w:val="Normal (Web)"/>
    <w:basedOn w:val="Normal"/>
    <w:rsid w:val="007519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81191">
      <w:bodyDiv w:val="1"/>
      <w:marLeft w:val="0"/>
      <w:marRight w:val="0"/>
      <w:marTop w:val="0"/>
      <w:marBottom w:val="0"/>
      <w:divBdr>
        <w:top w:val="none" w:sz="0" w:space="0" w:color="auto"/>
        <w:left w:val="none" w:sz="0" w:space="0" w:color="auto"/>
        <w:bottom w:val="none" w:sz="0" w:space="0" w:color="auto"/>
        <w:right w:val="none" w:sz="0" w:space="0" w:color="auto"/>
      </w:divBdr>
    </w:div>
    <w:div w:id="220482018">
      <w:bodyDiv w:val="1"/>
      <w:marLeft w:val="0"/>
      <w:marRight w:val="0"/>
      <w:marTop w:val="0"/>
      <w:marBottom w:val="0"/>
      <w:divBdr>
        <w:top w:val="none" w:sz="0" w:space="0" w:color="auto"/>
        <w:left w:val="none" w:sz="0" w:space="0" w:color="auto"/>
        <w:bottom w:val="none" w:sz="0" w:space="0" w:color="auto"/>
        <w:right w:val="none" w:sz="0" w:space="0" w:color="auto"/>
      </w:divBdr>
      <w:divsChild>
        <w:div w:id="133762713">
          <w:marLeft w:val="850"/>
          <w:marRight w:val="0"/>
          <w:marTop w:val="60"/>
          <w:marBottom w:val="0"/>
          <w:divBdr>
            <w:top w:val="none" w:sz="0" w:space="0" w:color="auto"/>
            <w:left w:val="none" w:sz="0" w:space="0" w:color="auto"/>
            <w:bottom w:val="none" w:sz="0" w:space="0" w:color="auto"/>
            <w:right w:val="none" w:sz="0" w:space="0" w:color="auto"/>
          </w:divBdr>
        </w:div>
      </w:divsChild>
    </w:div>
    <w:div w:id="274480816">
      <w:bodyDiv w:val="1"/>
      <w:marLeft w:val="0"/>
      <w:marRight w:val="0"/>
      <w:marTop w:val="0"/>
      <w:marBottom w:val="0"/>
      <w:divBdr>
        <w:top w:val="none" w:sz="0" w:space="0" w:color="auto"/>
        <w:left w:val="none" w:sz="0" w:space="0" w:color="auto"/>
        <w:bottom w:val="none" w:sz="0" w:space="0" w:color="auto"/>
        <w:right w:val="none" w:sz="0" w:space="0" w:color="auto"/>
      </w:divBdr>
      <w:divsChild>
        <w:div w:id="993533234">
          <w:marLeft w:val="850"/>
          <w:marRight w:val="0"/>
          <w:marTop w:val="60"/>
          <w:marBottom w:val="0"/>
          <w:divBdr>
            <w:top w:val="none" w:sz="0" w:space="0" w:color="auto"/>
            <w:left w:val="none" w:sz="0" w:space="0" w:color="auto"/>
            <w:bottom w:val="none" w:sz="0" w:space="0" w:color="auto"/>
            <w:right w:val="none" w:sz="0" w:space="0" w:color="auto"/>
          </w:divBdr>
        </w:div>
      </w:divsChild>
    </w:div>
    <w:div w:id="334921225">
      <w:bodyDiv w:val="1"/>
      <w:marLeft w:val="0"/>
      <w:marRight w:val="0"/>
      <w:marTop w:val="0"/>
      <w:marBottom w:val="0"/>
      <w:divBdr>
        <w:top w:val="none" w:sz="0" w:space="0" w:color="auto"/>
        <w:left w:val="none" w:sz="0" w:space="0" w:color="auto"/>
        <w:bottom w:val="none" w:sz="0" w:space="0" w:color="auto"/>
        <w:right w:val="none" w:sz="0" w:space="0" w:color="auto"/>
      </w:divBdr>
      <w:divsChild>
        <w:div w:id="214200061">
          <w:marLeft w:val="850"/>
          <w:marRight w:val="0"/>
          <w:marTop w:val="160"/>
          <w:marBottom w:val="0"/>
          <w:divBdr>
            <w:top w:val="none" w:sz="0" w:space="0" w:color="auto"/>
            <w:left w:val="none" w:sz="0" w:space="0" w:color="auto"/>
            <w:bottom w:val="none" w:sz="0" w:space="0" w:color="auto"/>
            <w:right w:val="none" w:sz="0" w:space="0" w:color="auto"/>
          </w:divBdr>
        </w:div>
      </w:divsChild>
    </w:div>
    <w:div w:id="375744253">
      <w:bodyDiv w:val="1"/>
      <w:marLeft w:val="0"/>
      <w:marRight w:val="0"/>
      <w:marTop w:val="0"/>
      <w:marBottom w:val="0"/>
      <w:divBdr>
        <w:top w:val="none" w:sz="0" w:space="0" w:color="auto"/>
        <w:left w:val="none" w:sz="0" w:space="0" w:color="auto"/>
        <w:bottom w:val="none" w:sz="0" w:space="0" w:color="auto"/>
        <w:right w:val="none" w:sz="0" w:space="0" w:color="auto"/>
      </w:divBdr>
      <w:divsChild>
        <w:div w:id="99421910">
          <w:marLeft w:val="288"/>
          <w:marRight w:val="0"/>
          <w:marTop w:val="160"/>
          <w:marBottom w:val="0"/>
          <w:divBdr>
            <w:top w:val="none" w:sz="0" w:space="0" w:color="auto"/>
            <w:left w:val="none" w:sz="0" w:space="0" w:color="auto"/>
            <w:bottom w:val="none" w:sz="0" w:space="0" w:color="auto"/>
            <w:right w:val="none" w:sz="0" w:space="0" w:color="auto"/>
          </w:divBdr>
        </w:div>
        <w:div w:id="140319068">
          <w:marLeft w:val="850"/>
          <w:marRight w:val="0"/>
          <w:marTop w:val="160"/>
          <w:marBottom w:val="0"/>
          <w:divBdr>
            <w:top w:val="none" w:sz="0" w:space="0" w:color="auto"/>
            <w:left w:val="none" w:sz="0" w:space="0" w:color="auto"/>
            <w:bottom w:val="none" w:sz="0" w:space="0" w:color="auto"/>
            <w:right w:val="none" w:sz="0" w:space="0" w:color="auto"/>
          </w:divBdr>
        </w:div>
        <w:div w:id="212234824">
          <w:marLeft w:val="576"/>
          <w:marRight w:val="0"/>
          <w:marTop w:val="160"/>
          <w:marBottom w:val="0"/>
          <w:divBdr>
            <w:top w:val="none" w:sz="0" w:space="0" w:color="auto"/>
            <w:left w:val="none" w:sz="0" w:space="0" w:color="auto"/>
            <w:bottom w:val="none" w:sz="0" w:space="0" w:color="auto"/>
            <w:right w:val="none" w:sz="0" w:space="0" w:color="auto"/>
          </w:divBdr>
        </w:div>
        <w:div w:id="484933511">
          <w:marLeft w:val="576"/>
          <w:marRight w:val="0"/>
          <w:marTop w:val="160"/>
          <w:marBottom w:val="0"/>
          <w:divBdr>
            <w:top w:val="none" w:sz="0" w:space="0" w:color="auto"/>
            <w:left w:val="none" w:sz="0" w:space="0" w:color="auto"/>
            <w:bottom w:val="none" w:sz="0" w:space="0" w:color="auto"/>
            <w:right w:val="none" w:sz="0" w:space="0" w:color="auto"/>
          </w:divBdr>
        </w:div>
        <w:div w:id="570118470">
          <w:marLeft w:val="576"/>
          <w:marRight w:val="0"/>
          <w:marTop w:val="160"/>
          <w:marBottom w:val="0"/>
          <w:divBdr>
            <w:top w:val="none" w:sz="0" w:space="0" w:color="auto"/>
            <w:left w:val="none" w:sz="0" w:space="0" w:color="auto"/>
            <w:bottom w:val="none" w:sz="0" w:space="0" w:color="auto"/>
            <w:right w:val="none" w:sz="0" w:space="0" w:color="auto"/>
          </w:divBdr>
        </w:div>
        <w:div w:id="956519960">
          <w:marLeft w:val="576"/>
          <w:marRight w:val="0"/>
          <w:marTop w:val="160"/>
          <w:marBottom w:val="0"/>
          <w:divBdr>
            <w:top w:val="none" w:sz="0" w:space="0" w:color="auto"/>
            <w:left w:val="none" w:sz="0" w:space="0" w:color="auto"/>
            <w:bottom w:val="none" w:sz="0" w:space="0" w:color="auto"/>
            <w:right w:val="none" w:sz="0" w:space="0" w:color="auto"/>
          </w:divBdr>
        </w:div>
        <w:div w:id="1294752179">
          <w:marLeft w:val="576"/>
          <w:marRight w:val="0"/>
          <w:marTop w:val="160"/>
          <w:marBottom w:val="0"/>
          <w:divBdr>
            <w:top w:val="none" w:sz="0" w:space="0" w:color="auto"/>
            <w:left w:val="none" w:sz="0" w:space="0" w:color="auto"/>
            <w:bottom w:val="none" w:sz="0" w:space="0" w:color="auto"/>
            <w:right w:val="none" w:sz="0" w:space="0" w:color="auto"/>
          </w:divBdr>
        </w:div>
        <w:div w:id="1811362090">
          <w:marLeft w:val="288"/>
          <w:marRight w:val="0"/>
          <w:marTop w:val="160"/>
          <w:marBottom w:val="0"/>
          <w:divBdr>
            <w:top w:val="none" w:sz="0" w:space="0" w:color="auto"/>
            <w:left w:val="none" w:sz="0" w:space="0" w:color="auto"/>
            <w:bottom w:val="none" w:sz="0" w:space="0" w:color="auto"/>
            <w:right w:val="none" w:sz="0" w:space="0" w:color="auto"/>
          </w:divBdr>
        </w:div>
        <w:div w:id="1874609127">
          <w:marLeft w:val="850"/>
          <w:marRight w:val="0"/>
          <w:marTop w:val="160"/>
          <w:marBottom w:val="0"/>
          <w:divBdr>
            <w:top w:val="none" w:sz="0" w:space="0" w:color="auto"/>
            <w:left w:val="none" w:sz="0" w:space="0" w:color="auto"/>
            <w:bottom w:val="none" w:sz="0" w:space="0" w:color="auto"/>
            <w:right w:val="none" w:sz="0" w:space="0" w:color="auto"/>
          </w:divBdr>
        </w:div>
        <w:div w:id="1955864588">
          <w:marLeft w:val="850"/>
          <w:marRight w:val="0"/>
          <w:marTop w:val="160"/>
          <w:marBottom w:val="0"/>
          <w:divBdr>
            <w:top w:val="none" w:sz="0" w:space="0" w:color="auto"/>
            <w:left w:val="none" w:sz="0" w:space="0" w:color="auto"/>
            <w:bottom w:val="none" w:sz="0" w:space="0" w:color="auto"/>
            <w:right w:val="none" w:sz="0" w:space="0" w:color="auto"/>
          </w:divBdr>
        </w:div>
        <w:div w:id="1972787517">
          <w:marLeft w:val="288"/>
          <w:marRight w:val="0"/>
          <w:marTop w:val="160"/>
          <w:marBottom w:val="0"/>
          <w:divBdr>
            <w:top w:val="none" w:sz="0" w:space="0" w:color="auto"/>
            <w:left w:val="none" w:sz="0" w:space="0" w:color="auto"/>
            <w:bottom w:val="none" w:sz="0" w:space="0" w:color="auto"/>
            <w:right w:val="none" w:sz="0" w:space="0" w:color="auto"/>
          </w:divBdr>
        </w:div>
        <w:div w:id="2017295263">
          <w:marLeft w:val="576"/>
          <w:marRight w:val="0"/>
          <w:marTop w:val="160"/>
          <w:marBottom w:val="0"/>
          <w:divBdr>
            <w:top w:val="none" w:sz="0" w:space="0" w:color="auto"/>
            <w:left w:val="none" w:sz="0" w:space="0" w:color="auto"/>
            <w:bottom w:val="none" w:sz="0" w:space="0" w:color="auto"/>
            <w:right w:val="none" w:sz="0" w:space="0" w:color="auto"/>
          </w:divBdr>
        </w:div>
        <w:div w:id="2056078811">
          <w:marLeft w:val="288"/>
          <w:marRight w:val="0"/>
          <w:marTop w:val="160"/>
          <w:marBottom w:val="0"/>
          <w:divBdr>
            <w:top w:val="none" w:sz="0" w:space="0" w:color="auto"/>
            <w:left w:val="none" w:sz="0" w:space="0" w:color="auto"/>
            <w:bottom w:val="none" w:sz="0" w:space="0" w:color="auto"/>
            <w:right w:val="none" w:sz="0" w:space="0" w:color="auto"/>
          </w:divBdr>
        </w:div>
      </w:divsChild>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18665935">
      <w:bodyDiv w:val="1"/>
      <w:marLeft w:val="0"/>
      <w:marRight w:val="0"/>
      <w:marTop w:val="0"/>
      <w:marBottom w:val="0"/>
      <w:divBdr>
        <w:top w:val="none" w:sz="0" w:space="0" w:color="auto"/>
        <w:left w:val="none" w:sz="0" w:space="0" w:color="auto"/>
        <w:bottom w:val="none" w:sz="0" w:space="0" w:color="auto"/>
        <w:right w:val="none" w:sz="0" w:space="0" w:color="auto"/>
      </w:divBdr>
      <w:divsChild>
        <w:div w:id="2128618859">
          <w:marLeft w:val="126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2397629">
      <w:bodyDiv w:val="1"/>
      <w:marLeft w:val="0"/>
      <w:marRight w:val="0"/>
      <w:marTop w:val="0"/>
      <w:marBottom w:val="0"/>
      <w:divBdr>
        <w:top w:val="none" w:sz="0" w:space="0" w:color="auto"/>
        <w:left w:val="none" w:sz="0" w:space="0" w:color="auto"/>
        <w:bottom w:val="none" w:sz="0" w:space="0" w:color="auto"/>
        <w:right w:val="none" w:sz="0" w:space="0" w:color="auto"/>
      </w:divBdr>
      <w:divsChild>
        <w:div w:id="237373160">
          <w:marLeft w:val="418"/>
          <w:marRight w:val="0"/>
          <w:marTop w:val="160"/>
          <w:marBottom w:val="0"/>
          <w:divBdr>
            <w:top w:val="none" w:sz="0" w:space="0" w:color="auto"/>
            <w:left w:val="none" w:sz="0" w:space="0" w:color="auto"/>
            <w:bottom w:val="none" w:sz="0" w:space="0" w:color="auto"/>
            <w:right w:val="none" w:sz="0" w:space="0" w:color="auto"/>
          </w:divBdr>
        </w:div>
        <w:div w:id="268782938">
          <w:marLeft w:val="418"/>
          <w:marRight w:val="0"/>
          <w:marTop w:val="160"/>
          <w:marBottom w:val="0"/>
          <w:divBdr>
            <w:top w:val="none" w:sz="0" w:space="0" w:color="auto"/>
            <w:left w:val="none" w:sz="0" w:space="0" w:color="auto"/>
            <w:bottom w:val="none" w:sz="0" w:space="0" w:color="auto"/>
            <w:right w:val="none" w:sz="0" w:space="0" w:color="auto"/>
          </w:divBdr>
        </w:div>
        <w:div w:id="830176768">
          <w:marLeft w:val="418"/>
          <w:marRight w:val="0"/>
          <w:marTop w:val="160"/>
          <w:marBottom w:val="0"/>
          <w:divBdr>
            <w:top w:val="none" w:sz="0" w:space="0" w:color="auto"/>
            <w:left w:val="none" w:sz="0" w:space="0" w:color="auto"/>
            <w:bottom w:val="none" w:sz="0" w:space="0" w:color="auto"/>
            <w:right w:val="none" w:sz="0" w:space="0" w:color="auto"/>
          </w:divBdr>
        </w:div>
        <w:div w:id="934821244">
          <w:marLeft w:val="418"/>
          <w:marRight w:val="0"/>
          <w:marTop w:val="160"/>
          <w:marBottom w:val="0"/>
          <w:divBdr>
            <w:top w:val="none" w:sz="0" w:space="0" w:color="auto"/>
            <w:left w:val="none" w:sz="0" w:space="0" w:color="auto"/>
            <w:bottom w:val="none" w:sz="0" w:space="0" w:color="auto"/>
            <w:right w:val="none" w:sz="0" w:space="0" w:color="auto"/>
          </w:divBdr>
        </w:div>
        <w:div w:id="1003125452">
          <w:marLeft w:val="850"/>
          <w:marRight w:val="0"/>
          <w:marTop w:val="160"/>
          <w:marBottom w:val="0"/>
          <w:divBdr>
            <w:top w:val="none" w:sz="0" w:space="0" w:color="auto"/>
            <w:left w:val="none" w:sz="0" w:space="0" w:color="auto"/>
            <w:bottom w:val="none" w:sz="0" w:space="0" w:color="auto"/>
            <w:right w:val="none" w:sz="0" w:space="0" w:color="auto"/>
          </w:divBdr>
        </w:div>
        <w:div w:id="1730955133">
          <w:marLeft w:val="850"/>
          <w:marRight w:val="0"/>
          <w:marTop w:val="160"/>
          <w:marBottom w:val="0"/>
          <w:divBdr>
            <w:top w:val="none" w:sz="0" w:space="0" w:color="auto"/>
            <w:left w:val="none" w:sz="0" w:space="0" w:color="auto"/>
            <w:bottom w:val="none" w:sz="0" w:space="0" w:color="auto"/>
            <w:right w:val="none" w:sz="0" w:space="0" w:color="auto"/>
          </w:divBdr>
        </w:div>
      </w:divsChild>
    </w:div>
    <w:div w:id="639458391">
      <w:bodyDiv w:val="1"/>
      <w:marLeft w:val="0"/>
      <w:marRight w:val="0"/>
      <w:marTop w:val="0"/>
      <w:marBottom w:val="0"/>
      <w:divBdr>
        <w:top w:val="none" w:sz="0" w:space="0" w:color="auto"/>
        <w:left w:val="none" w:sz="0" w:space="0" w:color="auto"/>
        <w:bottom w:val="none" w:sz="0" w:space="0" w:color="auto"/>
        <w:right w:val="none" w:sz="0" w:space="0" w:color="auto"/>
      </w:divBdr>
      <w:divsChild>
        <w:div w:id="1388719635">
          <w:marLeft w:val="850"/>
          <w:marRight w:val="0"/>
          <w:marTop w:val="60"/>
          <w:marBottom w:val="0"/>
          <w:divBdr>
            <w:top w:val="none" w:sz="0" w:space="0" w:color="auto"/>
            <w:left w:val="none" w:sz="0" w:space="0" w:color="auto"/>
            <w:bottom w:val="none" w:sz="0" w:space="0" w:color="auto"/>
            <w:right w:val="none" w:sz="0" w:space="0" w:color="auto"/>
          </w:divBdr>
        </w:div>
      </w:divsChild>
    </w:div>
    <w:div w:id="714886849">
      <w:bodyDiv w:val="1"/>
      <w:marLeft w:val="0"/>
      <w:marRight w:val="0"/>
      <w:marTop w:val="0"/>
      <w:marBottom w:val="0"/>
      <w:divBdr>
        <w:top w:val="none" w:sz="0" w:space="0" w:color="auto"/>
        <w:left w:val="none" w:sz="0" w:space="0" w:color="auto"/>
        <w:bottom w:val="none" w:sz="0" w:space="0" w:color="auto"/>
        <w:right w:val="none" w:sz="0" w:space="0" w:color="auto"/>
      </w:divBdr>
      <w:divsChild>
        <w:div w:id="53284149">
          <w:marLeft w:val="576"/>
          <w:marRight w:val="0"/>
          <w:marTop w:val="160"/>
          <w:marBottom w:val="0"/>
          <w:divBdr>
            <w:top w:val="none" w:sz="0" w:space="0" w:color="auto"/>
            <w:left w:val="none" w:sz="0" w:space="0" w:color="auto"/>
            <w:bottom w:val="none" w:sz="0" w:space="0" w:color="auto"/>
            <w:right w:val="none" w:sz="0" w:space="0" w:color="auto"/>
          </w:divBdr>
        </w:div>
        <w:div w:id="209848868">
          <w:marLeft w:val="576"/>
          <w:marRight w:val="0"/>
          <w:marTop w:val="160"/>
          <w:marBottom w:val="0"/>
          <w:divBdr>
            <w:top w:val="none" w:sz="0" w:space="0" w:color="auto"/>
            <w:left w:val="none" w:sz="0" w:space="0" w:color="auto"/>
            <w:bottom w:val="none" w:sz="0" w:space="0" w:color="auto"/>
            <w:right w:val="none" w:sz="0" w:space="0" w:color="auto"/>
          </w:divBdr>
        </w:div>
        <w:div w:id="399407088">
          <w:marLeft w:val="576"/>
          <w:marRight w:val="0"/>
          <w:marTop w:val="160"/>
          <w:marBottom w:val="0"/>
          <w:divBdr>
            <w:top w:val="none" w:sz="0" w:space="0" w:color="auto"/>
            <w:left w:val="none" w:sz="0" w:space="0" w:color="auto"/>
            <w:bottom w:val="none" w:sz="0" w:space="0" w:color="auto"/>
            <w:right w:val="none" w:sz="0" w:space="0" w:color="auto"/>
          </w:divBdr>
        </w:div>
        <w:div w:id="418989531">
          <w:marLeft w:val="288"/>
          <w:marRight w:val="0"/>
          <w:marTop w:val="160"/>
          <w:marBottom w:val="0"/>
          <w:divBdr>
            <w:top w:val="none" w:sz="0" w:space="0" w:color="auto"/>
            <w:left w:val="none" w:sz="0" w:space="0" w:color="auto"/>
            <w:bottom w:val="none" w:sz="0" w:space="0" w:color="auto"/>
            <w:right w:val="none" w:sz="0" w:space="0" w:color="auto"/>
          </w:divBdr>
        </w:div>
        <w:div w:id="768964234">
          <w:marLeft w:val="576"/>
          <w:marRight w:val="0"/>
          <w:marTop w:val="160"/>
          <w:marBottom w:val="0"/>
          <w:divBdr>
            <w:top w:val="none" w:sz="0" w:space="0" w:color="auto"/>
            <w:left w:val="none" w:sz="0" w:space="0" w:color="auto"/>
            <w:bottom w:val="none" w:sz="0" w:space="0" w:color="auto"/>
            <w:right w:val="none" w:sz="0" w:space="0" w:color="auto"/>
          </w:divBdr>
        </w:div>
        <w:div w:id="874777791">
          <w:marLeft w:val="288"/>
          <w:marRight w:val="0"/>
          <w:marTop w:val="160"/>
          <w:marBottom w:val="0"/>
          <w:divBdr>
            <w:top w:val="none" w:sz="0" w:space="0" w:color="auto"/>
            <w:left w:val="none" w:sz="0" w:space="0" w:color="auto"/>
            <w:bottom w:val="none" w:sz="0" w:space="0" w:color="auto"/>
            <w:right w:val="none" w:sz="0" w:space="0" w:color="auto"/>
          </w:divBdr>
        </w:div>
        <w:div w:id="897469999">
          <w:marLeft w:val="576"/>
          <w:marRight w:val="0"/>
          <w:marTop w:val="160"/>
          <w:marBottom w:val="0"/>
          <w:divBdr>
            <w:top w:val="none" w:sz="0" w:space="0" w:color="auto"/>
            <w:left w:val="none" w:sz="0" w:space="0" w:color="auto"/>
            <w:bottom w:val="none" w:sz="0" w:space="0" w:color="auto"/>
            <w:right w:val="none" w:sz="0" w:space="0" w:color="auto"/>
          </w:divBdr>
        </w:div>
        <w:div w:id="916595006">
          <w:marLeft w:val="576"/>
          <w:marRight w:val="0"/>
          <w:marTop w:val="160"/>
          <w:marBottom w:val="0"/>
          <w:divBdr>
            <w:top w:val="none" w:sz="0" w:space="0" w:color="auto"/>
            <w:left w:val="none" w:sz="0" w:space="0" w:color="auto"/>
            <w:bottom w:val="none" w:sz="0" w:space="0" w:color="auto"/>
            <w:right w:val="none" w:sz="0" w:space="0" w:color="auto"/>
          </w:divBdr>
        </w:div>
        <w:div w:id="1077628752">
          <w:marLeft w:val="288"/>
          <w:marRight w:val="0"/>
          <w:marTop w:val="160"/>
          <w:marBottom w:val="0"/>
          <w:divBdr>
            <w:top w:val="none" w:sz="0" w:space="0" w:color="auto"/>
            <w:left w:val="none" w:sz="0" w:space="0" w:color="auto"/>
            <w:bottom w:val="none" w:sz="0" w:space="0" w:color="auto"/>
            <w:right w:val="none" w:sz="0" w:space="0" w:color="auto"/>
          </w:divBdr>
        </w:div>
        <w:div w:id="1081364621">
          <w:marLeft w:val="576"/>
          <w:marRight w:val="0"/>
          <w:marTop w:val="160"/>
          <w:marBottom w:val="0"/>
          <w:divBdr>
            <w:top w:val="none" w:sz="0" w:space="0" w:color="auto"/>
            <w:left w:val="none" w:sz="0" w:space="0" w:color="auto"/>
            <w:bottom w:val="none" w:sz="0" w:space="0" w:color="auto"/>
            <w:right w:val="none" w:sz="0" w:space="0" w:color="auto"/>
          </w:divBdr>
        </w:div>
        <w:div w:id="1709909280">
          <w:marLeft w:val="288"/>
          <w:marRight w:val="0"/>
          <w:marTop w:val="160"/>
          <w:marBottom w:val="0"/>
          <w:divBdr>
            <w:top w:val="none" w:sz="0" w:space="0" w:color="auto"/>
            <w:left w:val="none" w:sz="0" w:space="0" w:color="auto"/>
            <w:bottom w:val="none" w:sz="0" w:space="0" w:color="auto"/>
            <w:right w:val="none" w:sz="0" w:space="0" w:color="auto"/>
          </w:divBdr>
        </w:div>
        <w:div w:id="1785465254">
          <w:marLeft w:val="576"/>
          <w:marRight w:val="0"/>
          <w:marTop w:val="160"/>
          <w:marBottom w:val="0"/>
          <w:divBdr>
            <w:top w:val="none" w:sz="0" w:space="0" w:color="auto"/>
            <w:left w:val="none" w:sz="0" w:space="0" w:color="auto"/>
            <w:bottom w:val="none" w:sz="0" w:space="0" w:color="auto"/>
            <w:right w:val="none" w:sz="0" w:space="0" w:color="auto"/>
          </w:divBdr>
        </w:div>
        <w:div w:id="2004580148">
          <w:marLeft w:val="576"/>
          <w:marRight w:val="0"/>
          <w:marTop w:val="160"/>
          <w:marBottom w:val="0"/>
          <w:divBdr>
            <w:top w:val="none" w:sz="0" w:space="0" w:color="auto"/>
            <w:left w:val="none" w:sz="0" w:space="0" w:color="auto"/>
            <w:bottom w:val="none" w:sz="0" w:space="0" w:color="auto"/>
            <w:right w:val="none" w:sz="0" w:space="0" w:color="auto"/>
          </w:divBdr>
        </w:div>
      </w:divsChild>
    </w:div>
    <w:div w:id="722365415">
      <w:bodyDiv w:val="1"/>
      <w:marLeft w:val="0"/>
      <w:marRight w:val="0"/>
      <w:marTop w:val="0"/>
      <w:marBottom w:val="0"/>
      <w:divBdr>
        <w:top w:val="none" w:sz="0" w:space="0" w:color="auto"/>
        <w:left w:val="none" w:sz="0" w:space="0" w:color="auto"/>
        <w:bottom w:val="none" w:sz="0" w:space="0" w:color="auto"/>
        <w:right w:val="none" w:sz="0" w:space="0" w:color="auto"/>
      </w:divBdr>
      <w:divsChild>
        <w:div w:id="1231233538">
          <w:marLeft w:val="850"/>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902108620">
      <w:bodyDiv w:val="1"/>
      <w:marLeft w:val="0"/>
      <w:marRight w:val="0"/>
      <w:marTop w:val="0"/>
      <w:marBottom w:val="0"/>
      <w:divBdr>
        <w:top w:val="none" w:sz="0" w:space="0" w:color="auto"/>
        <w:left w:val="none" w:sz="0" w:space="0" w:color="auto"/>
        <w:bottom w:val="none" w:sz="0" w:space="0" w:color="auto"/>
        <w:right w:val="none" w:sz="0" w:space="0" w:color="auto"/>
      </w:divBdr>
      <w:divsChild>
        <w:div w:id="1608272402">
          <w:marLeft w:val="850"/>
          <w:marRight w:val="0"/>
          <w:marTop w:val="60"/>
          <w:marBottom w:val="0"/>
          <w:divBdr>
            <w:top w:val="none" w:sz="0" w:space="0" w:color="auto"/>
            <w:left w:val="none" w:sz="0" w:space="0" w:color="auto"/>
            <w:bottom w:val="none" w:sz="0" w:space="0" w:color="auto"/>
            <w:right w:val="none" w:sz="0" w:space="0" w:color="auto"/>
          </w:divBdr>
        </w:div>
      </w:divsChild>
    </w:div>
    <w:div w:id="976226959">
      <w:bodyDiv w:val="1"/>
      <w:marLeft w:val="0"/>
      <w:marRight w:val="0"/>
      <w:marTop w:val="0"/>
      <w:marBottom w:val="0"/>
      <w:divBdr>
        <w:top w:val="none" w:sz="0" w:space="0" w:color="auto"/>
        <w:left w:val="none" w:sz="0" w:space="0" w:color="auto"/>
        <w:bottom w:val="none" w:sz="0" w:space="0" w:color="auto"/>
        <w:right w:val="none" w:sz="0" w:space="0" w:color="auto"/>
      </w:divBdr>
      <w:divsChild>
        <w:div w:id="163208073">
          <w:marLeft w:val="1267"/>
          <w:marRight w:val="0"/>
          <w:marTop w:val="160"/>
          <w:marBottom w:val="0"/>
          <w:divBdr>
            <w:top w:val="none" w:sz="0" w:space="0" w:color="auto"/>
            <w:left w:val="none" w:sz="0" w:space="0" w:color="auto"/>
            <w:bottom w:val="none" w:sz="0" w:space="0" w:color="auto"/>
            <w:right w:val="none" w:sz="0" w:space="0" w:color="auto"/>
          </w:divBdr>
        </w:div>
        <w:div w:id="321158028">
          <w:marLeft w:val="850"/>
          <w:marRight w:val="0"/>
          <w:marTop w:val="160"/>
          <w:marBottom w:val="0"/>
          <w:divBdr>
            <w:top w:val="none" w:sz="0" w:space="0" w:color="auto"/>
            <w:left w:val="none" w:sz="0" w:space="0" w:color="auto"/>
            <w:bottom w:val="none" w:sz="0" w:space="0" w:color="auto"/>
            <w:right w:val="none" w:sz="0" w:space="0" w:color="auto"/>
          </w:divBdr>
        </w:div>
      </w:divsChild>
    </w:div>
    <w:div w:id="990213369">
      <w:bodyDiv w:val="1"/>
      <w:marLeft w:val="0"/>
      <w:marRight w:val="0"/>
      <w:marTop w:val="0"/>
      <w:marBottom w:val="0"/>
      <w:divBdr>
        <w:top w:val="none" w:sz="0" w:space="0" w:color="auto"/>
        <w:left w:val="none" w:sz="0" w:space="0" w:color="auto"/>
        <w:bottom w:val="none" w:sz="0" w:space="0" w:color="auto"/>
        <w:right w:val="none" w:sz="0" w:space="0" w:color="auto"/>
      </w:divBdr>
      <w:divsChild>
        <w:div w:id="1379545793">
          <w:marLeft w:val="850"/>
          <w:marRight w:val="0"/>
          <w:marTop w:val="160"/>
          <w:marBottom w:val="0"/>
          <w:divBdr>
            <w:top w:val="none" w:sz="0" w:space="0" w:color="auto"/>
            <w:left w:val="none" w:sz="0" w:space="0" w:color="auto"/>
            <w:bottom w:val="none" w:sz="0" w:space="0" w:color="auto"/>
            <w:right w:val="none" w:sz="0" w:space="0" w:color="auto"/>
          </w:divBdr>
        </w:div>
      </w:divsChild>
    </w:div>
    <w:div w:id="1129055679">
      <w:bodyDiv w:val="1"/>
      <w:marLeft w:val="0"/>
      <w:marRight w:val="0"/>
      <w:marTop w:val="0"/>
      <w:marBottom w:val="0"/>
      <w:divBdr>
        <w:top w:val="none" w:sz="0" w:space="0" w:color="auto"/>
        <w:left w:val="none" w:sz="0" w:space="0" w:color="auto"/>
        <w:bottom w:val="none" w:sz="0" w:space="0" w:color="auto"/>
        <w:right w:val="none" w:sz="0" w:space="0" w:color="auto"/>
      </w:divBdr>
      <w:divsChild>
        <w:div w:id="1717503849">
          <w:marLeft w:val="1267"/>
          <w:marRight w:val="0"/>
          <w:marTop w:val="60"/>
          <w:marBottom w:val="0"/>
          <w:divBdr>
            <w:top w:val="none" w:sz="0" w:space="0" w:color="auto"/>
            <w:left w:val="none" w:sz="0" w:space="0" w:color="auto"/>
            <w:bottom w:val="none" w:sz="0" w:space="0" w:color="auto"/>
            <w:right w:val="none" w:sz="0" w:space="0" w:color="auto"/>
          </w:divBdr>
        </w:div>
      </w:divsChild>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174611964">
      <w:bodyDiv w:val="1"/>
      <w:marLeft w:val="0"/>
      <w:marRight w:val="0"/>
      <w:marTop w:val="0"/>
      <w:marBottom w:val="0"/>
      <w:divBdr>
        <w:top w:val="none" w:sz="0" w:space="0" w:color="auto"/>
        <w:left w:val="none" w:sz="0" w:space="0" w:color="auto"/>
        <w:bottom w:val="none" w:sz="0" w:space="0" w:color="auto"/>
        <w:right w:val="none" w:sz="0" w:space="0" w:color="auto"/>
      </w:divBdr>
    </w:div>
    <w:div w:id="1221557386">
      <w:bodyDiv w:val="1"/>
      <w:marLeft w:val="0"/>
      <w:marRight w:val="0"/>
      <w:marTop w:val="0"/>
      <w:marBottom w:val="0"/>
      <w:divBdr>
        <w:top w:val="none" w:sz="0" w:space="0" w:color="auto"/>
        <w:left w:val="none" w:sz="0" w:space="0" w:color="auto"/>
        <w:bottom w:val="none" w:sz="0" w:space="0" w:color="auto"/>
        <w:right w:val="none" w:sz="0" w:space="0" w:color="auto"/>
      </w:divBdr>
      <w:divsChild>
        <w:div w:id="1463956686">
          <w:marLeft w:val="850"/>
          <w:marRight w:val="0"/>
          <w:marTop w:val="60"/>
          <w:marBottom w:val="0"/>
          <w:divBdr>
            <w:top w:val="none" w:sz="0" w:space="0" w:color="auto"/>
            <w:left w:val="none" w:sz="0" w:space="0" w:color="auto"/>
            <w:bottom w:val="none" w:sz="0" w:space="0" w:color="auto"/>
            <w:right w:val="none" w:sz="0" w:space="0" w:color="auto"/>
          </w:divBdr>
        </w:div>
      </w:divsChild>
    </w:div>
    <w:div w:id="1309746283">
      <w:bodyDiv w:val="1"/>
      <w:marLeft w:val="0"/>
      <w:marRight w:val="0"/>
      <w:marTop w:val="0"/>
      <w:marBottom w:val="0"/>
      <w:divBdr>
        <w:top w:val="none" w:sz="0" w:space="0" w:color="auto"/>
        <w:left w:val="none" w:sz="0" w:space="0" w:color="auto"/>
        <w:bottom w:val="none" w:sz="0" w:space="0" w:color="auto"/>
        <w:right w:val="none" w:sz="0" w:space="0" w:color="auto"/>
      </w:divBdr>
    </w:div>
    <w:div w:id="1589463554">
      <w:bodyDiv w:val="1"/>
      <w:marLeft w:val="0"/>
      <w:marRight w:val="0"/>
      <w:marTop w:val="0"/>
      <w:marBottom w:val="0"/>
      <w:divBdr>
        <w:top w:val="none" w:sz="0" w:space="0" w:color="auto"/>
        <w:left w:val="none" w:sz="0" w:space="0" w:color="auto"/>
        <w:bottom w:val="none" w:sz="0" w:space="0" w:color="auto"/>
        <w:right w:val="none" w:sz="0" w:space="0" w:color="auto"/>
      </w:divBdr>
    </w:div>
    <w:div w:id="1637833077">
      <w:bodyDiv w:val="1"/>
      <w:marLeft w:val="0"/>
      <w:marRight w:val="0"/>
      <w:marTop w:val="0"/>
      <w:marBottom w:val="0"/>
      <w:divBdr>
        <w:top w:val="none" w:sz="0" w:space="0" w:color="auto"/>
        <w:left w:val="none" w:sz="0" w:space="0" w:color="auto"/>
        <w:bottom w:val="none" w:sz="0" w:space="0" w:color="auto"/>
        <w:right w:val="none" w:sz="0" w:space="0" w:color="auto"/>
      </w:divBdr>
      <w:divsChild>
        <w:div w:id="1873034427">
          <w:marLeft w:val="418"/>
          <w:marRight w:val="0"/>
          <w:marTop w:val="160"/>
          <w:marBottom w:val="0"/>
          <w:divBdr>
            <w:top w:val="none" w:sz="0" w:space="0" w:color="auto"/>
            <w:left w:val="none" w:sz="0" w:space="0" w:color="auto"/>
            <w:bottom w:val="none" w:sz="0" w:space="0" w:color="auto"/>
            <w:right w:val="none" w:sz="0" w:space="0" w:color="auto"/>
          </w:divBdr>
        </w:div>
      </w:divsChild>
    </w:div>
    <w:div w:id="1641418489">
      <w:bodyDiv w:val="1"/>
      <w:marLeft w:val="0"/>
      <w:marRight w:val="0"/>
      <w:marTop w:val="0"/>
      <w:marBottom w:val="0"/>
      <w:divBdr>
        <w:top w:val="none" w:sz="0" w:space="0" w:color="auto"/>
        <w:left w:val="none" w:sz="0" w:space="0" w:color="auto"/>
        <w:bottom w:val="none" w:sz="0" w:space="0" w:color="auto"/>
        <w:right w:val="none" w:sz="0" w:space="0" w:color="auto"/>
      </w:divBdr>
      <w:divsChild>
        <w:div w:id="137384520">
          <w:marLeft w:val="850"/>
          <w:marRight w:val="0"/>
          <w:marTop w:val="160"/>
          <w:marBottom w:val="0"/>
          <w:divBdr>
            <w:top w:val="none" w:sz="0" w:space="0" w:color="auto"/>
            <w:left w:val="none" w:sz="0" w:space="0" w:color="auto"/>
            <w:bottom w:val="none" w:sz="0" w:space="0" w:color="auto"/>
            <w:right w:val="none" w:sz="0" w:space="0" w:color="auto"/>
          </w:divBdr>
        </w:div>
        <w:div w:id="157774308">
          <w:marLeft w:val="850"/>
          <w:marRight w:val="0"/>
          <w:marTop w:val="160"/>
          <w:marBottom w:val="0"/>
          <w:divBdr>
            <w:top w:val="none" w:sz="0" w:space="0" w:color="auto"/>
            <w:left w:val="none" w:sz="0" w:space="0" w:color="auto"/>
            <w:bottom w:val="none" w:sz="0" w:space="0" w:color="auto"/>
            <w:right w:val="none" w:sz="0" w:space="0" w:color="auto"/>
          </w:divBdr>
        </w:div>
        <w:div w:id="662053914">
          <w:marLeft w:val="418"/>
          <w:marRight w:val="0"/>
          <w:marTop w:val="160"/>
          <w:marBottom w:val="0"/>
          <w:divBdr>
            <w:top w:val="none" w:sz="0" w:space="0" w:color="auto"/>
            <w:left w:val="none" w:sz="0" w:space="0" w:color="auto"/>
            <w:bottom w:val="none" w:sz="0" w:space="0" w:color="auto"/>
            <w:right w:val="none" w:sz="0" w:space="0" w:color="auto"/>
          </w:divBdr>
        </w:div>
        <w:div w:id="867917165">
          <w:marLeft w:val="418"/>
          <w:marRight w:val="0"/>
          <w:marTop w:val="160"/>
          <w:marBottom w:val="0"/>
          <w:divBdr>
            <w:top w:val="none" w:sz="0" w:space="0" w:color="auto"/>
            <w:left w:val="none" w:sz="0" w:space="0" w:color="auto"/>
            <w:bottom w:val="none" w:sz="0" w:space="0" w:color="auto"/>
            <w:right w:val="none" w:sz="0" w:space="0" w:color="auto"/>
          </w:divBdr>
        </w:div>
        <w:div w:id="1368335234">
          <w:marLeft w:val="418"/>
          <w:marRight w:val="0"/>
          <w:marTop w:val="160"/>
          <w:marBottom w:val="0"/>
          <w:divBdr>
            <w:top w:val="none" w:sz="0" w:space="0" w:color="auto"/>
            <w:left w:val="none" w:sz="0" w:space="0" w:color="auto"/>
            <w:bottom w:val="none" w:sz="0" w:space="0" w:color="auto"/>
            <w:right w:val="none" w:sz="0" w:space="0" w:color="auto"/>
          </w:divBdr>
        </w:div>
        <w:div w:id="1378168420">
          <w:marLeft w:val="418"/>
          <w:marRight w:val="0"/>
          <w:marTop w:val="160"/>
          <w:marBottom w:val="0"/>
          <w:divBdr>
            <w:top w:val="none" w:sz="0" w:space="0" w:color="auto"/>
            <w:left w:val="none" w:sz="0" w:space="0" w:color="auto"/>
            <w:bottom w:val="none" w:sz="0" w:space="0" w:color="auto"/>
            <w:right w:val="none" w:sz="0" w:space="0" w:color="auto"/>
          </w:divBdr>
        </w:div>
      </w:divsChild>
    </w:div>
    <w:div w:id="1676805546">
      <w:bodyDiv w:val="1"/>
      <w:marLeft w:val="0"/>
      <w:marRight w:val="0"/>
      <w:marTop w:val="0"/>
      <w:marBottom w:val="0"/>
      <w:divBdr>
        <w:top w:val="none" w:sz="0" w:space="0" w:color="auto"/>
        <w:left w:val="none" w:sz="0" w:space="0" w:color="auto"/>
        <w:bottom w:val="none" w:sz="0" w:space="0" w:color="auto"/>
        <w:right w:val="none" w:sz="0" w:space="0" w:color="auto"/>
      </w:divBdr>
      <w:divsChild>
        <w:div w:id="29384923">
          <w:marLeft w:val="1267"/>
          <w:marRight w:val="0"/>
          <w:marTop w:val="160"/>
          <w:marBottom w:val="0"/>
          <w:divBdr>
            <w:top w:val="none" w:sz="0" w:space="0" w:color="auto"/>
            <w:left w:val="none" w:sz="0" w:space="0" w:color="auto"/>
            <w:bottom w:val="none" w:sz="0" w:space="0" w:color="auto"/>
            <w:right w:val="none" w:sz="0" w:space="0" w:color="auto"/>
          </w:divBdr>
        </w:div>
        <w:div w:id="367069387">
          <w:marLeft w:val="1267"/>
          <w:marRight w:val="0"/>
          <w:marTop w:val="160"/>
          <w:marBottom w:val="0"/>
          <w:divBdr>
            <w:top w:val="none" w:sz="0" w:space="0" w:color="auto"/>
            <w:left w:val="none" w:sz="0" w:space="0" w:color="auto"/>
            <w:bottom w:val="none" w:sz="0" w:space="0" w:color="auto"/>
            <w:right w:val="none" w:sz="0" w:space="0" w:color="auto"/>
          </w:divBdr>
        </w:div>
        <w:div w:id="384109977">
          <w:marLeft w:val="1267"/>
          <w:marRight w:val="0"/>
          <w:marTop w:val="160"/>
          <w:marBottom w:val="0"/>
          <w:divBdr>
            <w:top w:val="none" w:sz="0" w:space="0" w:color="auto"/>
            <w:left w:val="none" w:sz="0" w:space="0" w:color="auto"/>
            <w:bottom w:val="none" w:sz="0" w:space="0" w:color="auto"/>
            <w:right w:val="none" w:sz="0" w:space="0" w:color="auto"/>
          </w:divBdr>
        </w:div>
        <w:div w:id="892274414">
          <w:marLeft w:val="1267"/>
          <w:marRight w:val="0"/>
          <w:marTop w:val="160"/>
          <w:marBottom w:val="0"/>
          <w:divBdr>
            <w:top w:val="none" w:sz="0" w:space="0" w:color="auto"/>
            <w:left w:val="none" w:sz="0" w:space="0" w:color="auto"/>
            <w:bottom w:val="none" w:sz="0" w:space="0" w:color="auto"/>
            <w:right w:val="none" w:sz="0" w:space="0" w:color="auto"/>
          </w:divBdr>
        </w:div>
        <w:div w:id="1179470518">
          <w:marLeft w:val="850"/>
          <w:marRight w:val="0"/>
          <w:marTop w:val="160"/>
          <w:marBottom w:val="0"/>
          <w:divBdr>
            <w:top w:val="none" w:sz="0" w:space="0" w:color="auto"/>
            <w:left w:val="none" w:sz="0" w:space="0" w:color="auto"/>
            <w:bottom w:val="none" w:sz="0" w:space="0" w:color="auto"/>
            <w:right w:val="none" w:sz="0" w:space="0" w:color="auto"/>
          </w:divBdr>
        </w:div>
        <w:div w:id="1267419245">
          <w:marLeft w:val="1267"/>
          <w:marRight w:val="0"/>
          <w:marTop w:val="160"/>
          <w:marBottom w:val="0"/>
          <w:divBdr>
            <w:top w:val="none" w:sz="0" w:space="0" w:color="auto"/>
            <w:left w:val="none" w:sz="0" w:space="0" w:color="auto"/>
            <w:bottom w:val="none" w:sz="0" w:space="0" w:color="auto"/>
            <w:right w:val="none" w:sz="0" w:space="0" w:color="auto"/>
          </w:divBdr>
        </w:div>
        <w:div w:id="1461607732">
          <w:marLeft w:val="1267"/>
          <w:marRight w:val="0"/>
          <w:marTop w:val="160"/>
          <w:marBottom w:val="0"/>
          <w:divBdr>
            <w:top w:val="none" w:sz="0" w:space="0" w:color="auto"/>
            <w:left w:val="none" w:sz="0" w:space="0" w:color="auto"/>
            <w:bottom w:val="none" w:sz="0" w:space="0" w:color="auto"/>
            <w:right w:val="none" w:sz="0" w:space="0" w:color="auto"/>
          </w:divBdr>
        </w:div>
        <w:div w:id="1514415691">
          <w:marLeft w:val="1699"/>
          <w:marRight w:val="0"/>
          <w:marTop w:val="160"/>
          <w:marBottom w:val="0"/>
          <w:divBdr>
            <w:top w:val="none" w:sz="0" w:space="0" w:color="auto"/>
            <w:left w:val="none" w:sz="0" w:space="0" w:color="auto"/>
            <w:bottom w:val="none" w:sz="0" w:space="0" w:color="auto"/>
            <w:right w:val="none" w:sz="0" w:space="0" w:color="auto"/>
          </w:divBdr>
        </w:div>
        <w:div w:id="1631588672">
          <w:marLeft w:val="1699"/>
          <w:marRight w:val="0"/>
          <w:marTop w:val="160"/>
          <w:marBottom w:val="0"/>
          <w:divBdr>
            <w:top w:val="none" w:sz="0" w:space="0" w:color="auto"/>
            <w:left w:val="none" w:sz="0" w:space="0" w:color="auto"/>
            <w:bottom w:val="none" w:sz="0" w:space="0" w:color="auto"/>
            <w:right w:val="none" w:sz="0" w:space="0" w:color="auto"/>
          </w:divBdr>
        </w:div>
        <w:div w:id="1796484080">
          <w:marLeft w:val="1267"/>
          <w:marRight w:val="0"/>
          <w:marTop w:val="160"/>
          <w:marBottom w:val="0"/>
          <w:divBdr>
            <w:top w:val="none" w:sz="0" w:space="0" w:color="auto"/>
            <w:left w:val="none" w:sz="0" w:space="0" w:color="auto"/>
            <w:bottom w:val="none" w:sz="0" w:space="0" w:color="auto"/>
            <w:right w:val="none" w:sz="0" w:space="0" w:color="auto"/>
          </w:divBdr>
        </w:div>
        <w:div w:id="2125877253">
          <w:marLeft w:val="1267"/>
          <w:marRight w:val="0"/>
          <w:marTop w:val="160"/>
          <w:marBottom w:val="0"/>
          <w:divBdr>
            <w:top w:val="none" w:sz="0" w:space="0" w:color="auto"/>
            <w:left w:val="none" w:sz="0" w:space="0" w:color="auto"/>
            <w:bottom w:val="none" w:sz="0" w:space="0" w:color="auto"/>
            <w:right w:val="none" w:sz="0" w:space="0" w:color="auto"/>
          </w:divBdr>
        </w:div>
      </w:divsChild>
    </w:div>
    <w:div w:id="1719933517">
      <w:bodyDiv w:val="1"/>
      <w:marLeft w:val="0"/>
      <w:marRight w:val="0"/>
      <w:marTop w:val="0"/>
      <w:marBottom w:val="0"/>
      <w:divBdr>
        <w:top w:val="none" w:sz="0" w:space="0" w:color="auto"/>
        <w:left w:val="none" w:sz="0" w:space="0" w:color="auto"/>
        <w:bottom w:val="none" w:sz="0" w:space="0" w:color="auto"/>
        <w:right w:val="none" w:sz="0" w:space="0" w:color="auto"/>
      </w:divBdr>
    </w:div>
    <w:div w:id="1755468002">
      <w:bodyDiv w:val="1"/>
      <w:marLeft w:val="0"/>
      <w:marRight w:val="0"/>
      <w:marTop w:val="0"/>
      <w:marBottom w:val="0"/>
      <w:divBdr>
        <w:top w:val="none" w:sz="0" w:space="0" w:color="auto"/>
        <w:left w:val="none" w:sz="0" w:space="0" w:color="auto"/>
        <w:bottom w:val="none" w:sz="0" w:space="0" w:color="auto"/>
        <w:right w:val="none" w:sz="0" w:space="0" w:color="auto"/>
      </w:divBdr>
      <w:divsChild>
        <w:div w:id="1790660876">
          <w:marLeft w:val="850"/>
          <w:marRight w:val="0"/>
          <w:marTop w:val="80"/>
          <w:marBottom w:val="0"/>
          <w:divBdr>
            <w:top w:val="none" w:sz="0" w:space="0" w:color="auto"/>
            <w:left w:val="none" w:sz="0" w:space="0" w:color="auto"/>
            <w:bottom w:val="none" w:sz="0" w:space="0" w:color="auto"/>
            <w:right w:val="none" w:sz="0" w:space="0" w:color="auto"/>
          </w:divBdr>
        </w:div>
      </w:divsChild>
    </w:div>
    <w:div w:id="1820730465">
      <w:bodyDiv w:val="1"/>
      <w:marLeft w:val="0"/>
      <w:marRight w:val="0"/>
      <w:marTop w:val="0"/>
      <w:marBottom w:val="0"/>
      <w:divBdr>
        <w:top w:val="none" w:sz="0" w:space="0" w:color="auto"/>
        <w:left w:val="none" w:sz="0" w:space="0" w:color="auto"/>
        <w:bottom w:val="none" w:sz="0" w:space="0" w:color="auto"/>
        <w:right w:val="none" w:sz="0" w:space="0" w:color="auto"/>
      </w:divBdr>
    </w:div>
    <w:div w:id="2080514472">
      <w:bodyDiv w:val="1"/>
      <w:marLeft w:val="0"/>
      <w:marRight w:val="0"/>
      <w:marTop w:val="0"/>
      <w:marBottom w:val="0"/>
      <w:divBdr>
        <w:top w:val="none" w:sz="0" w:space="0" w:color="auto"/>
        <w:left w:val="none" w:sz="0" w:space="0" w:color="auto"/>
        <w:bottom w:val="none" w:sz="0" w:space="0" w:color="auto"/>
        <w:right w:val="none" w:sz="0" w:space="0" w:color="auto"/>
      </w:divBdr>
      <w:divsChild>
        <w:div w:id="910506448">
          <w:marLeft w:val="1267"/>
          <w:marRight w:val="0"/>
          <w:marTop w:val="160"/>
          <w:marBottom w:val="0"/>
          <w:divBdr>
            <w:top w:val="none" w:sz="0" w:space="0" w:color="auto"/>
            <w:left w:val="none" w:sz="0" w:space="0" w:color="auto"/>
            <w:bottom w:val="none" w:sz="0" w:space="0" w:color="auto"/>
            <w:right w:val="none" w:sz="0" w:space="0" w:color="auto"/>
          </w:divBdr>
        </w:div>
        <w:div w:id="1376469768">
          <w:marLeft w:val="1267"/>
          <w:marRight w:val="0"/>
          <w:marTop w:val="160"/>
          <w:marBottom w:val="0"/>
          <w:divBdr>
            <w:top w:val="none" w:sz="0" w:space="0" w:color="auto"/>
            <w:left w:val="none" w:sz="0" w:space="0" w:color="auto"/>
            <w:bottom w:val="none" w:sz="0" w:space="0" w:color="auto"/>
            <w:right w:val="none" w:sz="0" w:space="0" w:color="auto"/>
          </w:divBdr>
        </w:div>
      </w:divsChild>
    </w:div>
    <w:div w:id="2096587535">
      <w:bodyDiv w:val="1"/>
      <w:marLeft w:val="0"/>
      <w:marRight w:val="0"/>
      <w:marTop w:val="0"/>
      <w:marBottom w:val="0"/>
      <w:divBdr>
        <w:top w:val="none" w:sz="0" w:space="0" w:color="auto"/>
        <w:left w:val="none" w:sz="0" w:space="0" w:color="auto"/>
        <w:bottom w:val="none" w:sz="0" w:space="0" w:color="auto"/>
        <w:right w:val="none" w:sz="0" w:space="0" w:color="auto"/>
      </w:divBdr>
      <w:divsChild>
        <w:div w:id="1880435515">
          <w:marLeft w:val="1267"/>
          <w:marRight w:val="0"/>
          <w:marTop w:val="160"/>
          <w:marBottom w:val="0"/>
          <w:divBdr>
            <w:top w:val="none" w:sz="0" w:space="0" w:color="auto"/>
            <w:left w:val="none" w:sz="0" w:space="0" w:color="auto"/>
            <w:bottom w:val="none" w:sz="0" w:space="0" w:color="auto"/>
            <w:right w:val="none" w:sz="0" w:space="0" w:color="auto"/>
          </w:divBdr>
        </w:div>
        <w:div w:id="1909992345">
          <w:marLeft w:val="850"/>
          <w:marRight w:val="0"/>
          <w:marTop w:val="160"/>
          <w:marBottom w:val="0"/>
          <w:divBdr>
            <w:top w:val="none" w:sz="0" w:space="0" w:color="auto"/>
            <w:left w:val="none" w:sz="0" w:space="0" w:color="auto"/>
            <w:bottom w:val="none" w:sz="0" w:space="0" w:color="auto"/>
            <w:right w:val="none" w:sz="0" w:space="0" w:color="auto"/>
          </w:divBdr>
        </w:div>
      </w:divsChild>
    </w:div>
    <w:div w:id="2141023889">
      <w:bodyDiv w:val="1"/>
      <w:marLeft w:val="0"/>
      <w:marRight w:val="0"/>
      <w:marTop w:val="0"/>
      <w:marBottom w:val="0"/>
      <w:divBdr>
        <w:top w:val="none" w:sz="0" w:space="0" w:color="auto"/>
        <w:left w:val="none" w:sz="0" w:space="0" w:color="auto"/>
        <w:bottom w:val="none" w:sz="0" w:space="0" w:color="auto"/>
        <w:right w:val="none" w:sz="0" w:space="0" w:color="auto"/>
      </w:divBdr>
      <w:divsChild>
        <w:div w:id="635110293">
          <w:marLeft w:val="1267"/>
          <w:marRight w:val="0"/>
          <w:marTop w:val="160"/>
          <w:marBottom w:val="0"/>
          <w:divBdr>
            <w:top w:val="none" w:sz="0" w:space="0" w:color="auto"/>
            <w:left w:val="none" w:sz="0" w:space="0" w:color="auto"/>
            <w:bottom w:val="none" w:sz="0" w:space="0" w:color="auto"/>
            <w:right w:val="none" w:sz="0" w:space="0" w:color="auto"/>
          </w:divBdr>
        </w:div>
        <w:div w:id="1631745296">
          <w:marLeft w:val="1699"/>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763050-FB31-4003-8AB5-3CAB11BA9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3</TotalTime>
  <Pages>5</Pages>
  <Words>2712</Words>
  <Characters>15463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18139</CharactersWithSpaces>
  <SharedDoc>false</SharedDoc>
  <HyperlinkBase/>
  <HLinks>
    <vt:vector size="72" baseType="variant">
      <vt:variant>
        <vt:i4>1376304</vt:i4>
      </vt:variant>
      <vt:variant>
        <vt:i4>38</vt:i4>
      </vt:variant>
      <vt:variant>
        <vt:i4>0</vt:i4>
      </vt:variant>
      <vt:variant>
        <vt:i4>5</vt:i4>
      </vt:variant>
      <vt:variant>
        <vt:lpwstr/>
      </vt:variant>
      <vt:variant>
        <vt:lpwstr>_Toc210344648</vt:lpwstr>
      </vt:variant>
      <vt:variant>
        <vt:i4>1376304</vt:i4>
      </vt:variant>
      <vt:variant>
        <vt:i4>35</vt:i4>
      </vt:variant>
      <vt:variant>
        <vt:i4>0</vt:i4>
      </vt:variant>
      <vt:variant>
        <vt:i4>5</vt:i4>
      </vt:variant>
      <vt:variant>
        <vt:lpwstr/>
      </vt:variant>
      <vt:variant>
        <vt:lpwstr>_Toc210344647</vt:lpwstr>
      </vt:variant>
      <vt:variant>
        <vt:i4>1376304</vt:i4>
      </vt:variant>
      <vt:variant>
        <vt:i4>32</vt:i4>
      </vt:variant>
      <vt:variant>
        <vt:i4>0</vt:i4>
      </vt:variant>
      <vt:variant>
        <vt:i4>5</vt:i4>
      </vt:variant>
      <vt:variant>
        <vt:lpwstr/>
      </vt:variant>
      <vt:variant>
        <vt:lpwstr>_Toc210344646</vt:lpwstr>
      </vt:variant>
      <vt:variant>
        <vt:i4>1376304</vt:i4>
      </vt:variant>
      <vt:variant>
        <vt:i4>29</vt:i4>
      </vt:variant>
      <vt:variant>
        <vt:i4>0</vt:i4>
      </vt:variant>
      <vt:variant>
        <vt:i4>5</vt:i4>
      </vt:variant>
      <vt:variant>
        <vt:lpwstr/>
      </vt:variant>
      <vt:variant>
        <vt:lpwstr>_Toc210344645</vt:lpwstr>
      </vt:variant>
      <vt:variant>
        <vt:i4>1376304</vt:i4>
      </vt:variant>
      <vt:variant>
        <vt:i4>23</vt:i4>
      </vt:variant>
      <vt:variant>
        <vt:i4>0</vt:i4>
      </vt:variant>
      <vt:variant>
        <vt:i4>5</vt:i4>
      </vt:variant>
      <vt:variant>
        <vt:lpwstr/>
      </vt:variant>
      <vt:variant>
        <vt:lpwstr>_Toc210344644</vt:lpwstr>
      </vt:variant>
      <vt:variant>
        <vt:i4>1376304</vt:i4>
      </vt:variant>
      <vt:variant>
        <vt:i4>20</vt:i4>
      </vt:variant>
      <vt:variant>
        <vt:i4>0</vt:i4>
      </vt:variant>
      <vt:variant>
        <vt:i4>5</vt:i4>
      </vt:variant>
      <vt:variant>
        <vt:lpwstr/>
      </vt:variant>
      <vt:variant>
        <vt:lpwstr>_Toc210344643</vt:lpwstr>
      </vt:variant>
      <vt:variant>
        <vt:i4>1376304</vt:i4>
      </vt:variant>
      <vt:variant>
        <vt:i4>17</vt:i4>
      </vt:variant>
      <vt:variant>
        <vt:i4>0</vt:i4>
      </vt:variant>
      <vt:variant>
        <vt:i4>5</vt:i4>
      </vt:variant>
      <vt:variant>
        <vt:lpwstr/>
      </vt:variant>
      <vt:variant>
        <vt:lpwstr>_Toc210344642</vt:lpwstr>
      </vt:variant>
      <vt:variant>
        <vt:i4>1376304</vt:i4>
      </vt:variant>
      <vt:variant>
        <vt:i4>14</vt:i4>
      </vt:variant>
      <vt:variant>
        <vt:i4>0</vt:i4>
      </vt:variant>
      <vt:variant>
        <vt:i4>5</vt:i4>
      </vt:variant>
      <vt:variant>
        <vt:lpwstr/>
      </vt:variant>
      <vt:variant>
        <vt:lpwstr>_Toc210344641</vt:lpwstr>
      </vt:variant>
      <vt:variant>
        <vt:i4>1376304</vt:i4>
      </vt:variant>
      <vt:variant>
        <vt:i4>11</vt:i4>
      </vt:variant>
      <vt:variant>
        <vt:i4>0</vt:i4>
      </vt:variant>
      <vt:variant>
        <vt:i4>5</vt:i4>
      </vt:variant>
      <vt:variant>
        <vt:lpwstr/>
      </vt:variant>
      <vt:variant>
        <vt:lpwstr>_Toc210344640</vt:lpwstr>
      </vt:variant>
      <vt:variant>
        <vt:i4>1179696</vt:i4>
      </vt:variant>
      <vt:variant>
        <vt:i4>8</vt:i4>
      </vt:variant>
      <vt:variant>
        <vt:i4>0</vt:i4>
      </vt:variant>
      <vt:variant>
        <vt:i4>5</vt:i4>
      </vt:variant>
      <vt:variant>
        <vt:lpwstr/>
      </vt:variant>
      <vt:variant>
        <vt:lpwstr>_Toc210344639</vt:lpwstr>
      </vt:variant>
      <vt:variant>
        <vt:i4>1179696</vt:i4>
      </vt:variant>
      <vt:variant>
        <vt:i4>5</vt:i4>
      </vt:variant>
      <vt:variant>
        <vt:i4>0</vt:i4>
      </vt:variant>
      <vt:variant>
        <vt:i4>5</vt:i4>
      </vt:variant>
      <vt:variant>
        <vt:lpwstr/>
      </vt:variant>
      <vt:variant>
        <vt:lpwstr>_Toc210344638</vt:lpwstr>
      </vt:variant>
      <vt:variant>
        <vt:i4>1179696</vt:i4>
      </vt:variant>
      <vt:variant>
        <vt:i4>2</vt:i4>
      </vt:variant>
      <vt:variant>
        <vt:i4>0</vt:i4>
      </vt:variant>
      <vt:variant>
        <vt:i4>5</vt:i4>
      </vt:variant>
      <vt:variant>
        <vt:lpwstr/>
      </vt:variant>
      <vt:variant>
        <vt:lpwstr>_Toc210344637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cp:revision>
  <cp:lastPrinted>2008-02-01T00:09:00Z</cp:lastPrinted>
  <dcterms:created xsi:type="dcterms:W3CDTF">2025-10-03T08:50:00Z</dcterms:created>
  <dcterms:modified xsi:type="dcterms:W3CDTF">2025-10-03T08:54:00Z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